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7C6" w:rsidRDefault="006E47C6" w:rsidP="00E37514">
      <w:pPr>
        <w:pStyle w:val="TOC1"/>
      </w:pPr>
    </w:p>
    <w:p w:rsidR="00CB4B50" w:rsidRPr="00CB4B50" w:rsidRDefault="00CB4B50" w:rsidP="00CB4B50"/>
    <w:p w:rsidR="00C8194D" w:rsidRPr="00475F7E" w:rsidRDefault="00C8194D" w:rsidP="00575CD7">
      <w:pPr>
        <w:pStyle w:val="TOC1"/>
        <w:jc w:val="center"/>
        <w:rPr>
          <w:sz w:val="22"/>
          <w:szCs w:val="22"/>
        </w:rPr>
      </w:pPr>
      <w:r w:rsidRPr="00475F7E">
        <w:rPr>
          <w:sz w:val="22"/>
          <w:szCs w:val="22"/>
        </w:rPr>
        <w:t>ԲՈՎԱՆԴԱԿՈՒԹՅՈՒՆ</w:t>
      </w:r>
    </w:p>
    <w:p w:rsidR="003728C6" w:rsidRPr="00475F7E" w:rsidRDefault="003728C6" w:rsidP="003728C6">
      <w:pPr>
        <w:tabs>
          <w:tab w:val="left" w:pos="0"/>
        </w:tabs>
        <w:rPr>
          <w:rFonts w:ascii="GHEA Grapalat" w:hAnsi="GHEA Grapalat"/>
          <w:b/>
          <w:sz w:val="22"/>
          <w:szCs w:val="22"/>
        </w:rPr>
      </w:pPr>
      <w:bookmarkStart w:id="0" w:name="_Toc71283303"/>
      <w:bookmarkStart w:id="1" w:name="_Toc71283304"/>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u w:val="none"/>
          <w:lang w:val="en-US"/>
        </w:rPr>
      </w:sdtEndPr>
      <w:sdtContent>
        <w:p w:rsidR="00F22783" w:rsidRDefault="00E37514">
          <w:pPr>
            <w:pStyle w:val="TOC1"/>
            <w:rPr>
              <w:rFonts w:asciiTheme="minorHAnsi" w:eastAsiaTheme="minorEastAsia" w:hAnsiTheme="minorHAnsi" w:cstheme="minorBidi"/>
              <w:b w:val="0"/>
              <w:bCs w:val="0"/>
              <w:caps w:val="0"/>
              <w:color w:val="auto"/>
              <w:sz w:val="22"/>
              <w:szCs w:val="22"/>
            </w:rPr>
          </w:pPr>
          <w:r w:rsidRPr="00B32EBF">
            <w:rPr>
              <w:sz w:val="22"/>
              <w:szCs w:val="22"/>
            </w:rPr>
            <w:fldChar w:fldCharType="begin"/>
          </w:r>
          <w:r w:rsidRPr="00B32EBF">
            <w:rPr>
              <w:sz w:val="22"/>
              <w:szCs w:val="22"/>
            </w:rPr>
            <w:instrText xml:space="preserve"> TOC \o "1-3" \h \z \u </w:instrText>
          </w:r>
          <w:r w:rsidRPr="00B32EBF">
            <w:rPr>
              <w:sz w:val="22"/>
              <w:szCs w:val="22"/>
            </w:rPr>
            <w:fldChar w:fldCharType="separate"/>
          </w:r>
          <w:hyperlink w:anchor="_Toc165291593" w:history="1">
            <w:r w:rsidR="00F22783" w:rsidRPr="00154071">
              <w:rPr>
                <w:rStyle w:val="Hyperlink"/>
                <w:lang w:val="hy-AM"/>
              </w:rPr>
              <w:t>ՀԱՅԱՍՏԱՆԻ ՀԱՆՐԱՊԵՏՈՒԹՅԱՆ ՄԱԿՐՈՏՆՏԵՍԱԿԱՆ ԵՎ ՀԱՐԿԱԲՅՈՒՋԵՏԱՅԻՆ ԶԱՐԳԱՑՈՒՄՆԵՐԸ 2022 ԹՎԱԿԱՆԻ ԱՌԱՋԻՆ ԿԻՍԱՄՅԱԿՈՒՄ</w:t>
            </w:r>
            <w:r w:rsidR="00F22783">
              <w:rPr>
                <w:webHidden/>
              </w:rPr>
              <w:tab/>
            </w:r>
            <w:r w:rsidR="00F22783">
              <w:rPr>
                <w:webHidden/>
              </w:rPr>
              <w:fldChar w:fldCharType="begin"/>
            </w:r>
            <w:r w:rsidR="00F22783">
              <w:rPr>
                <w:webHidden/>
              </w:rPr>
              <w:instrText xml:space="preserve"> PAGEREF _Toc165291593 \h </w:instrText>
            </w:r>
            <w:r w:rsidR="00F22783">
              <w:rPr>
                <w:webHidden/>
              </w:rPr>
            </w:r>
            <w:r w:rsidR="00F22783">
              <w:rPr>
                <w:webHidden/>
              </w:rPr>
              <w:fldChar w:fldCharType="separate"/>
            </w:r>
            <w:r w:rsidR="00F22783">
              <w:rPr>
                <w:webHidden/>
              </w:rPr>
              <w:t>3</w:t>
            </w:r>
            <w:r w:rsidR="00F22783">
              <w:rPr>
                <w:webHidden/>
              </w:rPr>
              <w:fldChar w:fldCharType="end"/>
            </w:r>
          </w:hyperlink>
        </w:p>
        <w:p w:rsidR="00F22783" w:rsidRDefault="00F22783">
          <w:pPr>
            <w:pStyle w:val="TOC2"/>
            <w:rPr>
              <w:rFonts w:asciiTheme="minorHAnsi" w:eastAsiaTheme="minorEastAsia" w:hAnsiTheme="minorHAnsi" w:cstheme="minorBidi"/>
              <w:bCs w:val="0"/>
              <w:sz w:val="22"/>
              <w:szCs w:val="22"/>
              <w:lang w:val="en-US"/>
            </w:rPr>
          </w:pPr>
          <w:hyperlink w:anchor="_Toc165291594" w:history="1">
            <w:r w:rsidRPr="00154071">
              <w:rPr>
                <w:rStyle w:val="Hyperlink"/>
                <w:lang w:val="de-AT"/>
              </w:rPr>
              <w:t>ՄԱԿՐՈՏՆՏԵՍԱԿԱՆ ԵՎ ՀԱՐԿԱԲՅՈՒՋԵՏԱՅԻՆ ԱՄՓՈՓԱԳԻՐ</w:t>
            </w:r>
            <w:r>
              <w:rPr>
                <w:webHidden/>
              </w:rPr>
              <w:tab/>
            </w:r>
            <w:r>
              <w:rPr>
                <w:webHidden/>
              </w:rPr>
              <w:fldChar w:fldCharType="begin"/>
            </w:r>
            <w:r>
              <w:rPr>
                <w:webHidden/>
              </w:rPr>
              <w:instrText xml:space="preserve"> PAGEREF _Toc165291594 \h </w:instrText>
            </w:r>
            <w:r>
              <w:rPr>
                <w:webHidden/>
              </w:rPr>
            </w:r>
            <w:r>
              <w:rPr>
                <w:webHidden/>
              </w:rPr>
              <w:fldChar w:fldCharType="separate"/>
            </w:r>
            <w:r>
              <w:rPr>
                <w:webHidden/>
              </w:rPr>
              <w:t>3</w:t>
            </w:r>
            <w:r>
              <w:rPr>
                <w:webHidden/>
              </w:rPr>
              <w:fldChar w:fldCharType="end"/>
            </w:r>
          </w:hyperlink>
        </w:p>
        <w:p w:rsidR="00F22783" w:rsidRDefault="00F22783">
          <w:pPr>
            <w:pStyle w:val="TOC2"/>
            <w:rPr>
              <w:rFonts w:asciiTheme="minorHAnsi" w:eastAsiaTheme="minorEastAsia" w:hAnsiTheme="minorHAnsi" w:cstheme="minorBidi"/>
              <w:bCs w:val="0"/>
              <w:sz w:val="22"/>
              <w:szCs w:val="22"/>
              <w:lang w:val="en-US"/>
            </w:rPr>
          </w:pPr>
          <w:hyperlink w:anchor="_Toc165291595" w:history="1">
            <w:r w:rsidRPr="00154071">
              <w:rPr>
                <w:rStyle w:val="Hyperlink"/>
                <w:lang w:val="de-AT"/>
              </w:rPr>
              <w:t>ՄԱԿՐՈՏՆՏԵՍԱԿԱՆ ԶԱՐԳԱՑՈՒՄՆԵՐ</w:t>
            </w:r>
            <w:r>
              <w:rPr>
                <w:webHidden/>
              </w:rPr>
              <w:tab/>
            </w:r>
            <w:r>
              <w:rPr>
                <w:webHidden/>
              </w:rPr>
              <w:fldChar w:fldCharType="begin"/>
            </w:r>
            <w:r>
              <w:rPr>
                <w:webHidden/>
              </w:rPr>
              <w:instrText xml:space="preserve"> PAGEREF _Toc165291595 \h </w:instrText>
            </w:r>
            <w:r>
              <w:rPr>
                <w:webHidden/>
              </w:rPr>
            </w:r>
            <w:r>
              <w:rPr>
                <w:webHidden/>
              </w:rPr>
              <w:fldChar w:fldCharType="separate"/>
            </w:r>
            <w:r>
              <w:rPr>
                <w:webHidden/>
              </w:rPr>
              <w:t>5</w:t>
            </w:r>
            <w:r>
              <w:rPr>
                <w:webHidden/>
              </w:rPr>
              <w:fldChar w:fldCharType="end"/>
            </w:r>
          </w:hyperlink>
        </w:p>
        <w:p w:rsidR="00F22783" w:rsidRDefault="00F22783">
          <w:pPr>
            <w:pStyle w:val="TOC2"/>
            <w:rPr>
              <w:rFonts w:asciiTheme="minorHAnsi" w:eastAsiaTheme="minorEastAsia" w:hAnsiTheme="minorHAnsi" w:cstheme="minorBidi"/>
              <w:bCs w:val="0"/>
              <w:sz w:val="22"/>
              <w:szCs w:val="22"/>
              <w:lang w:val="en-US"/>
            </w:rPr>
          </w:pPr>
          <w:hyperlink w:anchor="_Toc165291596" w:history="1">
            <w:r w:rsidRPr="00154071">
              <w:rPr>
                <w:rStyle w:val="Hyperlink"/>
                <w:lang w:val="de-AT"/>
              </w:rPr>
              <w:t>Արտաքին միջավայրի զարգացումներ</w:t>
            </w:r>
            <w:r>
              <w:rPr>
                <w:webHidden/>
              </w:rPr>
              <w:tab/>
            </w:r>
            <w:r>
              <w:rPr>
                <w:webHidden/>
              </w:rPr>
              <w:fldChar w:fldCharType="begin"/>
            </w:r>
            <w:r>
              <w:rPr>
                <w:webHidden/>
              </w:rPr>
              <w:instrText xml:space="preserve"> PAGEREF _Toc165291596 \h </w:instrText>
            </w:r>
            <w:r>
              <w:rPr>
                <w:webHidden/>
              </w:rPr>
            </w:r>
            <w:r>
              <w:rPr>
                <w:webHidden/>
              </w:rPr>
              <w:fldChar w:fldCharType="separate"/>
            </w:r>
            <w:r>
              <w:rPr>
                <w:webHidden/>
              </w:rPr>
              <w:t>5</w:t>
            </w:r>
            <w:r>
              <w:rPr>
                <w:webHidden/>
              </w:rPr>
              <w:fldChar w:fldCharType="end"/>
            </w:r>
          </w:hyperlink>
        </w:p>
        <w:p w:rsidR="00F22783" w:rsidRDefault="00F22783">
          <w:pPr>
            <w:pStyle w:val="TOC2"/>
            <w:rPr>
              <w:rFonts w:asciiTheme="minorHAnsi" w:eastAsiaTheme="minorEastAsia" w:hAnsiTheme="minorHAnsi" w:cstheme="minorBidi"/>
              <w:bCs w:val="0"/>
              <w:sz w:val="22"/>
              <w:szCs w:val="22"/>
              <w:lang w:val="en-US"/>
            </w:rPr>
          </w:pPr>
          <w:hyperlink w:anchor="_Toc165291597" w:history="1">
            <w:r w:rsidRPr="00154071">
              <w:rPr>
                <w:rStyle w:val="Hyperlink"/>
                <w:lang w:val="de-AT"/>
              </w:rPr>
              <w:t>ՀՀ մակրոտնտեսական զարգացումներ</w:t>
            </w:r>
            <w:r>
              <w:rPr>
                <w:webHidden/>
              </w:rPr>
              <w:tab/>
            </w:r>
            <w:r>
              <w:rPr>
                <w:webHidden/>
              </w:rPr>
              <w:fldChar w:fldCharType="begin"/>
            </w:r>
            <w:r>
              <w:rPr>
                <w:webHidden/>
              </w:rPr>
              <w:instrText xml:space="preserve"> PAGEREF _Toc165291597 \h </w:instrText>
            </w:r>
            <w:r>
              <w:rPr>
                <w:webHidden/>
              </w:rPr>
            </w:r>
            <w:r>
              <w:rPr>
                <w:webHidden/>
              </w:rPr>
              <w:fldChar w:fldCharType="separate"/>
            </w:r>
            <w:r>
              <w:rPr>
                <w:webHidden/>
              </w:rPr>
              <w:t>6</w:t>
            </w:r>
            <w:r>
              <w:rPr>
                <w:webHidden/>
              </w:rPr>
              <w:fldChar w:fldCharType="end"/>
            </w:r>
          </w:hyperlink>
        </w:p>
        <w:p w:rsidR="00F22783" w:rsidRDefault="00F22783">
          <w:pPr>
            <w:pStyle w:val="TOC2"/>
            <w:rPr>
              <w:rFonts w:asciiTheme="minorHAnsi" w:eastAsiaTheme="minorEastAsia" w:hAnsiTheme="minorHAnsi" w:cstheme="minorBidi"/>
              <w:bCs w:val="0"/>
              <w:sz w:val="22"/>
              <w:szCs w:val="22"/>
              <w:lang w:val="en-US"/>
            </w:rPr>
          </w:pPr>
          <w:hyperlink w:anchor="_Toc165291598" w:history="1">
            <w:r w:rsidRPr="00154071">
              <w:rPr>
                <w:rStyle w:val="Hyperlink"/>
                <w:lang w:val="de-AT"/>
              </w:rPr>
              <w:t>ՀԱՐԿԱԲՅՈՒՋԵՏԱՅԻՆ ՔԱՂԱՔԱԿԱՆՈՒԹՅԱՆ ՀԻՄՆԱԿԱՆ ԶԱՐԳԱՑՈՒՄՆԵՐԸ</w:t>
            </w:r>
            <w:r>
              <w:rPr>
                <w:webHidden/>
              </w:rPr>
              <w:tab/>
            </w:r>
            <w:r>
              <w:rPr>
                <w:webHidden/>
              </w:rPr>
              <w:fldChar w:fldCharType="begin"/>
            </w:r>
            <w:r>
              <w:rPr>
                <w:webHidden/>
              </w:rPr>
              <w:instrText xml:space="preserve"> PAGEREF _Toc165291598 \h </w:instrText>
            </w:r>
            <w:r>
              <w:rPr>
                <w:webHidden/>
              </w:rPr>
            </w:r>
            <w:r>
              <w:rPr>
                <w:webHidden/>
              </w:rPr>
              <w:fldChar w:fldCharType="separate"/>
            </w:r>
            <w:r>
              <w:rPr>
                <w:webHidden/>
              </w:rPr>
              <w:t>24</w:t>
            </w:r>
            <w:r>
              <w:rPr>
                <w:webHidden/>
              </w:rPr>
              <w:fldChar w:fldCharType="end"/>
            </w:r>
          </w:hyperlink>
        </w:p>
        <w:p w:rsidR="00F22783" w:rsidRDefault="00F22783">
          <w:pPr>
            <w:pStyle w:val="TOC2"/>
            <w:rPr>
              <w:rFonts w:asciiTheme="minorHAnsi" w:eastAsiaTheme="minorEastAsia" w:hAnsiTheme="minorHAnsi" w:cstheme="minorBidi"/>
              <w:bCs w:val="0"/>
              <w:sz w:val="22"/>
              <w:szCs w:val="22"/>
              <w:lang w:val="en-US"/>
            </w:rPr>
          </w:pPr>
          <w:hyperlink w:anchor="_Toc165291599" w:history="1">
            <w:r w:rsidRPr="00154071">
              <w:rPr>
                <w:rStyle w:val="Hyperlink"/>
                <w:lang w:val="de-AT"/>
              </w:rPr>
              <w:t>Հավելված: Տնտեսության ճյուղերի և ենթաճյուղերի, արտահանման և ներմուծման ապրանքախմբերի հիմնական ցուցանիշների աղյուսակներ</w:t>
            </w:r>
            <w:r>
              <w:rPr>
                <w:webHidden/>
              </w:rPr>
              <w:tab/>
            </w:r>
            <w:r>
              <w:rPr>
                <w:webHidden/>
              </w:rPr>
              <w:fldChar w:fldCharType="begin"/>
            </w:r>
            <w:r>
              <w:rPr>
                <w:webHidden/>
              </w:rPr>
              <w:instrText xml:space="preserve"> PAGEREF _Toc165291599 \h </w:instrText>
            </w:r>
            <w:r>
              <w:rPr>
                <w:webHidden/>
              </w:rPr>
            </w:r>
            <w:r>
              <w:rPr>
                <w:webHidden/>
              </w:rPr>
              <w:fldChar w:fldCharType="separate"/>
            </w:r>
            <w:r>
              <w:rPr>
                <w:webHidden/>
              </w:rPr>
              <w:t>28</w:t>
            </w:r>
            <w:r>
              <w:rPr>
                <w:webHidden/>
              </w:rPr>
              <w:fldChar w:fldCharType="end"/>
            </w:r>
          </w:hyperlink>
        </w:p>
        <w:p w:rsidR="00647147" w:rsidRPr="00B32EBF" w:rsidRDefault="00E37514" w:rsidP="00E37514">
          <w:pPr>
            <w:rPr>
              <w:sz w:val="22"/>
              <w:szCs w:val="22"/>
            </w:rPr>
            <w:sectPr w:rsidR="00647147" w:rsidRPr="00B32EBF" w:rsidSect="00E37514">
              <w:footerReference w:type="default" r:id="rId8"/>
              <w:pgSz w:w="11907" w:h="16840" w:code="9"/>
              <w:pgMar w:top="1134" w:right="567" w:bottom="567" w:left="1134" w:header="567" w:footer="340" w:gutter="0"/>
              <w:pgNumType w:start="2"/>
              <w:cols w:space="720"/>
            </w:sectPr>
          </w:pPr>
          <w:r w:rsidRPr="00B32EBF">
            <w:rPr>
              <w:rFonts w:ascii="GHEA Grapalat" w:hAnsi="GHEA Grapalat"/>
              <w:b/>
              <w:bCs/>
              <w:noProof/>
              <w:sz w:val="22"/>
              <w:szCs w:val="22"/>
            </w:rPr>
            <w:fldChar w:fldCharType="end"/>
          </w:r>
        </w:p>
      </w:sdtContent>
    </w:sdt>
    <w:p w:rsidR="00756F85" w:rsidRPr="003019E2"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rPr>
      </w:pPr>
      <w:bookmarkStart w:id="2" w:name="_Toc100247626"/>
      <w:bookmarkStart w:id="3" w:name="_Toc87365141"/>
      <w:bookmarkStart w:id="4" w:name="_Toc8210486"/>
      <w:bookmarkStart w:id="5" w:name="_Toc71311890"/>
      <w:bookmarkEnd w:id="0"/>
      <w:bookmarkEnd w:id="1"/>
    </w:p>
    <w:p w:rsidR="00F22783" w:rsidRDefault="00F22783" w:rsidP="003019E2">
      <w:pPr>
        <w:pStyle w:val="Heading1"/>
        <w:overflowPunct/>
        <w:autoSpaceDE/>
        <w:autoSpaceDN/>
        <w:adjustRightInd/>
        <w:spacing w:line="240" w:lineRule="auto"/>
        <w:ind w:firstLine="0"/>
        <w:jc w:val="center"/>
        <w:textAlignment w:val="auto"/>
        <w:rPr>
          <w:rFonts w:ascii="GHEA Grapalat" w:hAnsi="GHEA Grapalat" w:cs="Sylfaen"/>
          <w:noProof/>
          <w:sz w:val="22"/>
          <w:szCs w:val="22"/>
          <w:lang w:val="hy-AM"/>
        </w:rPr>
      </w:pPr>
      <w:bookmarkStart w:id="6" w:name="_Toc165291593"/>
      <w:r w:rsidRPr="002915CB">
        <w:rPr>
          <w:rFonts w:ascii="GHEA Grapalat" w:hAnsi="GHEA Grapalat" w:cs="Sylfaen"/>
          <w:noProof/>
          <w:sz w:val="22"/>
          <w:szCs w:val="22"/>
          <w:lang w:val="hy-AM"/>
        </w:rPr>
        <w:t>ՀԱՅԱՍՏԱՆԻ ՀԱՆՐԱՊԵՏՈՒԹՅԱՆ ՄԱԿՐՈՏՆՏԵՍԱԿԱՆ ԵՎ ՀԱՐԿԱԲՅՈՒՋԵՏԱՅԻՆ ԶԱՐԳԱՑՈՒՄՆԵՐԸ 2022 ԹՎԱԿԱՆԻ ԱՌԱՋԻՆ ԿԻՍԱՄՅԱԿՈՒՄ</w:t>
      </w:r>
      <w:bookmarkEnd w:id="6"/>
    </w:p>
    <w:p w:rsidR="00F22783" w:rsidRPr="00F22783" w:rsidRDefault="00F22783" w:rsidP="00F22783">
      <w:pPr>
        <w:rPr>
          <w:rFonts w:asciiTheme="minorHAnsi" w:hAnsiTheme="minorHAnsi"/>
          <w:lang w:val="hy-AM"/>
        </w:rPr>
      </w:pPr>
    </w:p>
    <w:p w:rsidR="00756F85" w:rsidRPr="00F22783" w:rsidRDefault="00756F85" w:rsidP="00F22783">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7" w:name="_Toc165291594"/>
      <w:r w:rsidRPr="00F22783">
        <w:rPr>
          <w:rFonts w:ascii="GHEA Grapalat" w:hAnsi="GHEA Grapalat"/>
          <w:i w:val="0"/>
          <w:noProof/>
          <w:sz w:val="22"/>
          <w:szCs w:val="22"/>
          <w:lang w:val="de-AT"/>
        </w:rPr>
        <w:t>ՄԱԿՐՈՏՆՏԵՍԱԿԱՆ ԵՎ ՀԱՐԿԱԲՅՈՒՋԵՏԱՅԻՆ ԱՄՓՈՓԱԳԻՐ</w:t>
      </w:r>
      <w:bookmarkEnd w:id="2"/>
      <w:bookmarkEnd w:id="7"/>
    </w:p>
    <w:p w:rsidR="003019E2" w:rsidRPr="003019E2" w:rsidRDefault="003019E2" w:rsidP="003019E2">
      <w:pPr>
        <w:rPr>
          <w:rFonts w:asciiTheme="minorHAnsi" w:eastAsia="GHEA Grapalat" w:hAnsiTheme="minorHAnsi"/>
          <w:lang w:val="hy-AM"/>
        </w:rPr>
      </w:pP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2021 թվականից համաշխարհային տնտեսությունը, այդ թվում՝ ՀՀ գործընկեր երկրների տնտեսությունները թևակոխել էին տնտեսական աճի վերականգնման փուլ, որը շարունակվել է նաև 2022 թվականի առաջին եռամսյակում։ Սակայն ռուս-ուկրաինական հակամարտությամբ և դրա արդյունքում ՌԴ-ի նկատմամբ կիրառվող աննախադեպ պատժամիջոցների բացասական ազդեցություններով պայմանավորված</w:t>
      </w:r>
      <w:r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մարտ ամսից սկսել են դրսևորվել տնտեսական ակտիվության դանդաղման միտումներ: Կորոնավիրուսի համավարակի հետևանքով ստեղծված առաջարկի սահմանափակումների պայմաններում համաշխարհային պահանջարկի վերականգնման, ինչպես նաև ռուս-ուկրաինական հակամարտության ազդեցությամբ միջազգային (այդ թվում՝ հումքային) շուկաներում գրանցվել են բարձր գնաճային միտումներ: </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Համավարակի և Արցախյան պատերազմի շոկերից հետո տնտեսության 2</w:t>
      </w:r>
      <w:r w:rsidR="0058703C">
        <w:rPr>
          <w:rFonts w:ascii="GHEA Grapalat" w:hAnsi="GHEA Grapalat" w:cs="GHEA Grapalat"/>
          <w:sz w:val="22"/>
          <w:szCs w:val="22"/>
          <w:lang w:val="hy-AM"/>
        </w:rPr>
        <w:t>021 թվականի վերականգնման տեմպեր</w:t>
      </w:r>
      <w:r w:rsidR="0058703C" w:rsidRPr="00FF3485">
        <w:rPr>
          <w:rFonts w:ascii="GHEA Grapalat" w:hAnsi="GHEA Grapalat" w:cs="GHEA Grapalat"/>
          <w:sz w:val="22"/>
          <w:szCs w:val="22"/>
          <w:lang w:val="hy-AM"/>
        </w:rPr>
        <w:t>ն</w:t>
      </w:r>
      <w:r w:rsidRPr="002915CB">
        <w:rPr>
          <w:rFonts w:ascii="GHEA Grapalat" w:hAnsi="GHEA Grapalat" w:cs="GHEA Grapalat"/>
          <w:sz w:val="22"/>
          <w:szCs w:val="22"/>
          <w:lang w:val="hy-AM"/>
        </w:rPr>
        <w:t xml:space="preserve"> արագացան 2022 թվականի տարեսկզբին։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w:t>
      </w:r>
      <w:r w:rsidR="0058703C">
        <w:rPr>
          <w:rFonts w:ascii="GHEA Grapalat" w:hAnsi="GHEA Grapalat" w:cs="GHEA Grapalat"/>
          <w:sz w:val="22"/>
          <w:szCs w:val="22"/>
          <w:lang w:val="hy-AM"/>
        </w:rPr>
        <w:t>որոշակի դանդաղմանը</w:t>
      </w:r>
      <w:r w:rsidR="0058703C" w:rsidRPr="00FF3485">
        <w:rPr>
          <w:rFonts w:ascii="GHEA Grapalat" w:hAnsi="GHEA Grapalat" w:cs="GHEA Grapalat"/>
          <w:sz w:val="22"/>
          <w:szCs w:val="22"/>
          <w:lang w:val="hy-AM"/>
        </w:rPr>
        <w:t>՝</w:t>
      </w:r>
      <w:r w:rsidR="0058703C">
        <w:rPr>
          <w:rFonts w:ascii="GHEA Grapalat" w:hAnsi="GHEA Grapalat" w:cs="GHEA Grapalat"/>
          <w:sz w:val="22"/>
          <w:szCs w:val="22"/>
          <w:lang w:val="hy-AM"/>
        </w:rPr>
        <w:t xml:space="preserve"> ապրիլ ամսից</w:t>
      </w:r>
      <w:r w:rsidRPr="002915CB">
        <w:rPr>
          <w:rFonts w:ascii="GHEA Grapalat" w:hAnsi="GHEA Grapalat" w:cs="GHEA Grapalat"/>
          <w:sz w:val="22"/>
          <w:szCs w:val="22"/>
          <w:lang w:val="hy-AM"/>
        </w:rPr>
        <w:t xml:space="preserve"> դեպի Հայաստան մարդկանց ներհոսք</w:t>
      </w:r>
      <w:r w:rsidR="0058703C" w:rsidRPr="00FF3485">
        <w:rPr>
          <w:rFonts w:ascii="GHEA Grapalat" w:hAnsi="GHEA Grapalat" w:cs="GHEA Grapalat"/>
          <w:sz w:val="22"/>
          <w:szCs w:val="22"/>
          <w:lang w:val="hy-AM"/>
        </w:rPr>
        <w:t>ի</w:t>
      </w:r>
      <w:r w:rsidRPr="002915CB">
        <w:rPr>
          <w:rFonts w:ascii="GHEA Grapalat" w:hAnsi="GHEA Grapalat" w:cs="GHEA Grapalat"/>
          <w:sz w:val="22"/>
          <w:szCs w:val="22"/>
          <w:lang w:val="hy-AM"/>
        </w:rPr>
        <w:t>, ինչպես նաև զբոսաշրջության զգալի ավելացման և տեղեկատվական տեխնոլոգիաների ոլորտի ընկերությունների</w:t>
      </w:r>
      <w:r w:rsidR="0058703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ՀՀ տեղափոխման արդյունքում տնտեսական ակտիվության աճի տեմպերը կտրուկ արագացան</w:t>
      </w:r>
      <w:r w:rsidR="0058703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հատկապես՝ ծառայությունների ոլորտում: Արդյունքում հունվար-հունիսին գրանցվեց տնտեսական ակտիվության</w:t>
      </w:r>
      <w:r w:rsidR="0058703C" w:rsidRPr="00FF3485">
        <w:rPr>
          <w:rFonts w:ascii="GHEA Grapalat" w:hAnsi="GHEA Grapalat" w:cs="GHEA Grapalat"/>
          <w:sz w:val="22"/>
          <w:szCs w:val="22"/>
          <w:lang w:val="hy-AM"/>
        </w:rPr>
        <w:t xml:space="preserve"> </w:t>
      </w:r>
      <w:r w:rsidR="0058703C" w:rsidRPr="002915CB">
        <w:rPr>
          <w:rFonts w:ascii="GHEA Grapalat" w:hAnsi="GHEA Grapalat" w:cs="GHEA Grapalat"/>
          <w:sz w:val="22"/>
          <w:szCs w:val="22"/>
          <w:lang w:val="hy-AM"/>
        </w:rPr>
        <w:t xml:space="preserve">11.8% </w:t>
      </w:r>
      <w:r w:rsidRPr="002915CB">
        <w:rPr>
          <w:rFonts w:ascii="GHEA Grapalat" w:hAnsi="GHEA Grapalat" w:cs="GHEA Grapalat"/>
          <w:sz w:val="22"/>
          <w:szCs w:val="22"/>
          <w:lang w:val="hy-AM"/>
        </w:rPr>
        <w:t>աճ: 2022 թվականի առաջին կիսամյակում տնտեսության բոլոր ճյուղերում, բացառությամբ գյուղատնտեսության, գրանցվել է թողարկման ծավալների աճ: Տնտեսական ակտիվության աճն ուղեկցվել է ներքին պահանջարկի աճով:</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ներքին և արտաքին տնտեսական զարգացումներով պայմանավորված</w:t>
      </w:r>
      <w:r w:rsidR="0058703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արտաքին առևտուրը նշանակալի աճ է գրանցել. ապրանքների արտահանումն աճել է 36.3%-ով, իսկ ներմուծումը՝ 48.7%-ով։ 2022 թվականի մարտ ամսին արձանագրված արտաքին առևտրի աճի բարձր տեմպեր</w:t>
      </w:r>
      <w:r w:rsidR="0058703C" w:rsidRPr="00FF3485">
        <w:rPr>
          <w:rFonts w:ascii="GHEA Grapalat" w:hAnsi="GHEA Grapalat" w:cs="GHEA Grapalat"/>
          <w:sz w:val="22"/>
          <w:szCs w:val="22"/>
          <w:lang w:val="hy-AM"/>
        </w:rPr>
        <w:t>ից հետո,</w:t>
      </w:r>
      <w:r w:rsidRPr="002915CB">
        <w:rPr>
          <w:rFonts w:ascii="GHEA Grapalat" w:hAnsi="GHEA Grapalat" w:cs="GHEA Grapalat"/>
          <w:sz w:val="22"/>
          <w:szCs w:val="22"/>
          <w:lang w:val="hy-AM"/>
        </w:rPr>
        <w:t xml:space="preserve"> ռուս-ուկրաինական հակամարտության և ՌԴ-ի նկատմամբ կիրառվող աննախադեպ պատժամիջոցների բացասական ազդեցություններով պայմանավորված</w:t>
      </w:r>
      <w:r w:rsidR="0058703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տա</w:t>
      </w:r>
      <w:r w:rsidR="0058703C" w:rsidRPr="00FF3485">
        <w:rPr>
          <w:rFonts w:ascii="GHEA Grapalat" w:hAnsi="GHEA Grapalat" w:cs="GHEA Grapalat"/>
          <w:sz w:val="22"/>
          <w:szCs w:val="22"/>
          <w:lang w:val="hy-AM"/>
        </w:rPr>
        <w:t>ր</w:t>
      </w:r>
      <w:r w:rsidRPr="002915CB">
        <w:rPr>
          <w:rFonts w:ascii="GHEA Grapalat" w:hAnsi="GHEA Grapalat" w:cs="GHEA Grapalat"/>
          <w:sz w:val="22"/>
          <w:szCs w:val="22"/>
          <w:lang w:val="hy-AM"/>
        </w:rPr>
        <w:t>եսկզբի համեմատ տեղի ունեցավ աճի տեմպերի որոշակի դանդաղում, սակայն ապրիլ ամսից այն սկսեց նորից արագանալ</w:t>
      </w:r>
      <w:r w:rsidR="0058703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և առաջին կիսամյակում գրանցվեց արտահանման և ներմուծման երկնիշ աճ:</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lastRenderedPageBreak/>
        <w:t>Մարդկանց և ընկերությունների ներհոսքն ուղեկցվել է արտարժույթի (դոլար և ռուբլի) մեծ ներհոսքով, որի հետևանքով 2022 թվականի մարտից սկսած ՀՀ արժութային</w:t>
      </w:r>
      <w:r w:rsidR="0058703C">
        <w:rPr>
          <w:rFonts w:ascii="GHEA Grapalat" w:hAnsi="GHEA Grapalat" w:cs="GHEA Grapalat"/>
          <w:sz w:val="22"/>
          <w:szCs w:val="22"/>
          <w:lang w:val="hy-AM"/>
        </w:rPr>
        <w:t xml:space="preserve"> շուկայի շրջանառության ծավալներ</w:t>
      </w:r>
      <w:r w:rsidR="0058703C" w:rsidRPr="00FF3485">
        <w:rPr>
          <w:rFonts w:ascii="GHEA Grapalat" w:hAnsi="GHEA Grapalat" w:cs="GHEA Grapalat"/>
          <w:sz w:val="22"/>
          <w:szCs w:val="22"/>
          <w:lang w:val="hy-AM"/>
        </w:rPr>
        <w:t>ն</w:t>
      </w:r>
      <w:r w:rsidRPr="002915CB">
        <w:rPr>
          <w:rFonts w:ascii="GHEA Grapalat" w:hAnsi="GHEA Grapalat" w:cs="GHEA Grapalat"/>
          <w:sz w:val="22"/>
          <w:szCs w:val="22"/>
          <w:lang w:val="hy-AM"/>
        </w:rPr>
        <w:t xml:space="preserve"> էապես ավելացել են: Այս պայմաններում 2022 թվականի առաջին կիսամյակում, հատկապես՝ մարտ ամսից հետո ՀՀ դրամը ԱՄՆ դոլարի և </w:t>
      </w:r>
      <w:r w:rsidR="0058703C" w:rsidRPr="00FF3485">
        <w:rPr>
          <w:rFonts w:ascii="GHEA Grapalat" w:hAnsi="GHEA Grapalat" w:cs="GHEA Grapalat"/>
          <w:sz w:val="22"/>
          <w:szCs w:val="22"/>
          <w:lang w:val="hy-AM"/>
        </w:rPr>
        <w:t>ե</w:t>
      </w:r>
      <w:r w:rsidRPr="002915CB">
        <w:rPr>
          <w:rFonts w:ascii="GHEA Grapalat" w:hAnsi="GHEA Grapalat" w:cs="GHEA Grapalat"/>
          <w:sz w:val="22"/>
          <w:szCs w:val="22"/>
          <w:lang w:val="hy-AM"/>
        </w:rPr>
        <w:t>վրոյի նկատմամբ դրսևորել է արժևորման վարքագիծ: Իսկ ռուսական ռուբլու նկատմամբ արձանագրվել է հակառակ պատկերը՝ մարտի կտրուկ արժևորմանը հետևել է արժեզրկման միտումը։</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համաշխարհային ապրանքահումքային շուկաներում գների աճով, ինչպես նաև ՀՀ տնտեսությունում համախառն պահանջարկի ավելացմամբ պայմանավորված</w:t>
      </w:r>
      <w:r w:rsidR="0058703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12-ամսյա գնաճն արագացել է՝</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2022 թվականի հունիսին կազմելով 10.3%: Կիսամյակի ընթացքում, հաշվի առնելով միջազգային պարենային շուկաներում գնաճային զարգացումները և գնաճային սպասումների որոշակի ավելացումը, ՀՀ ԿԲ-ն բարձրացրել է վերաֆինանսավորման տոկոսադրույքն ընդհանուր առմամբ 1.5 տոկոսային կետով՝ սահմանելով 9.25%:</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բանկային համակարգի վարկերի ծավալները 2021 թվականի վերջի համեմատությամբ սկսել են աճել՝ արտացոլելով տնտեսության վերականգնման պայմաններում վարկերի նկատմամբ պահանջարկի վերականգնումը։ Ընդ որում</w:t>
      </w:r>
      <w:r w:rsidR="0058703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վարկերի աճը</w:t>
      </w:r>
      <w:r w:rsidR="0058703C">
        <w:rPr>
          <w:rFonts w:ascii="GHEA Grapalat" w:hAnsi="GHEA Grapalat" w:cs="GHEA Grapalat"/>
          <w:sz w:val="22"/>
          <w:szCs w:val="22"/>
          <w:lang w:val="hy-AM"/>
        </w:rPr>
        <w:t xml:space="preserve"> հիմնականում պայմանավորվել է հի</w:t>
      </w:r>
      <w:r w:rsidR="0058703C" w:rsidRPr="00FF3485">
        <w:rPr>
          <w:rFonts w:ascii="GHEA Grapalat" w:hAnsi="GHEA Grapalat" w:cs="GHEA Grapalat"/>
          <w:sz w:val="22"/>
          <w:szCs w:val="22"/>
          <w:lang w:val="hy-AM"/>
        </w:rPr>
        <w:t>պ</w:t>
      </w:r>
      <w:r w:rsidRPr="002915CB">
        <w:rPr>
          <w:rFonts w:ascii="GHEA Grapalat" w:hAnsi="GHEA Grapalat" w:cs="GHEA Grapalat"/>
          <w:sz w:val="22"/>
          <w:szCs w:val="22"/>
          <w:lang w:val="hy-AM"/>
        </w:rPr>
        <w:t>ո</w:t>
      </w:r>
      <w:r w:rsidR="0058703C" w:rsidRPr="00FF3485">
        <w:rPr>
          <w:rFonts w:ascii="GHEA Grapalat" w:hAnsi="GHEA Grapalat" w:cs="GHEA Grapalat"/>
          <w:sz w:val="22"/>
          <w:szCs w:val="22"/>
          <w:lang w:val="hy-AM"/>
        </w:rPr>
        <w:t>տ</w:t>
      </w:r>
      <w:r w:rsidRPr="002915CB">
        <w:rPr>
          <w:rFonts w:ascii="GHEA Grapalat" w:hAnsi="GHEA Grapalat" w:cs="GHEA Grapalat"/>
          <w:sz w:val="22"/>
          <w:szCs w:val="22"/>
          <w:lang w:val="hy-AM"/>
        </w:rPr>
        <w:t>ե</w:t>
      </w:r>
      <w:r w:rsidR="0058703C" w:rsidRPr="00FF3485">
        <w:rPr>
          <w:rFonts w:ascii="GHEA Grapalat" w:hAnsi="GHEA Grapalat" w:cs="GHEA Grapalat"/>
          <w:sz w:val="22"/>
          <w:szCs w:val="22"/>
          <w:lang w:val="hy-AM"/>
        </w:rPr>
        <w:t>կ</w:t>
      </w:r>
      <w:r w:rsidRPr="002915CB">
        <w:rPr>
          <w:rFonts w:ascii="GHEA Grapalat" w:hAnsi="GHEA Grapalat" w:cs="GHEA Grapalat"/>
          <w:sz w:val="22"/>
          <w:szCs w:val="22"/>
          <w:lang w:val="hy-AM"/>
        </w:rPr>
        <w:t xml:space="preserve">ային վարկերի աճով, որի վրա շարունակում է իր դրական ազդեցությունն ունենալ եկամտային հարկի վերադարձի քաղաքականությունը։ Ավանդները բարձր աճի տեմպեր են գրանցել՝ արտացոլելով ինչպես անհատների, այնպես էլ ձեռնարկությունների ավանդների աճի միտումները (ընդ որում, ինչպես վարկերի, այնպես էլ ավանդների աճի հաշվարկվող տեմպերը նվազեցրել է դրամի արժևորումը)։ </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Ինչպես վարկերի և ավանդների, այնպես էլ ՀՀ պետական պարտատոմսերի և եվրոբոնդերի տոկոսադրույքները կիսամյակի ընթացքում աճի միտումներ են ցուցաբերել՝ արտացոլելով գնաճային սպասումների ավելացումը, դրամավարկային պայմանների կոշտացումը, ինչպես նաև միջազգային ֆինանսական շուկաներում տոկոսադրույքների բարձրացումը և տարածաշրջանային անկայուն միջավայրով պայմանավորված</w:t>
      </w:r>
      <w:r w:rsidR="00877AB1"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ՀՀ երկրի ռիսկի հավելավճարի աճը։</w:t>
      </w:r>
    </w:p>
    <w:p w:rsidR="00F46449"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կիսամյակում հարկման բազաների բարձր աճի և 2021 թվականի հարկային օրենսդրության փոփոխությունների պայմաններում ՀՀ պետական բյուջեի հարկային եկամուտներն աճել են բարձր տեմպերով՝ կազմելով 927.9 մլրդ դրամ և նախորդ տարվա նույն ժամանակահատվածի համեմատ աճելով 23.7%-ով: </w:t>
      </w:r>
    </w:p>
    <w:p w:rsidR="00756F85" w:rsidRPr="002915CB" w:rsidRDefault="00F46449" w:rsidP="00F46449">
      <w:pPr>
        <w:pStyle w:val="ListParagraph"/>
        <w:numPr>
          <w:ilvl w:val="0"/>
          <w:numId w:val="17"/>
        </w:numPr>
        <w:autoSpaceDE w:val="0"/>
        <w:autoSpaceDN w:val="0"/>
        <w:adjustRightInd w:val="0"/>
        <w:spacing w:line="336" w:lineRule="auto"/>
        <w:contextualSpacing w:val="0"/>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կիսամյակում տնտեսական աճի բարձր տեմպի պայմաններում հարկաբյուջետային քաղաքականության ազդեցությունն ամբողջական պահանաջարկի վրա եղել է զսպող: Ընդ որում, պետական բյուջեի եկամուտների գերակատարման և ծախսերի </w:t>
      </w:r>
      <w:r w:rsidRPr="002915CB">
        <w:rPr>
          <w:rFonts w:ascii="GHEA Grapalat" w:hAnsi="GHEA Grapalat" w:cs="GHEA Grapalat"/>
          <w:sz w:val="22"/>
          <w:szCs w:val="22"/>
          <w:lang w:val="hy-AM"/>
        </w:rPr>
        <w:lastRenderedPageBreak/>
        <w:t xml:space="preserve">թերակատարման արդյուքնում ձևավորվել է պետական բյուջեի հավելուրդ՝ պլանավորված պակասուրդի փոխարեն: </w:t>
      </w:r>
    </w:p>
    <w:p w:rsidR="00563135" w:rsidRPr="002915CB" w:rsidRDefault="00756F85" w:rsidP="00B32EBF">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2915CB">
        <w:rPr>
          <w:rFonts w:ascii="GHEA Grapalat" w:hAnsi="GHEA Grapalat" w:cs="Sylfaen"/>
          <w:noProof/>
          <w:sz w:val="22"/>
          <w:szCs w:val="22"/>
          <w:lang w:val="hy-AM"/>
        </w:rPr>
        <w:br w:type="page"/>
      </w:r>
      <w:bookmarkStart w:id="8" w:name="_GoBack"/>
      <w:bookmarkEnd w:id="8"/>
    </w:p>
    <w:p w:rsidR="00563135" w:rsidRPr="002915CB" w:rsidRDefault="00563135" w:rsidP="00563135">
      <w:pPr>
        <w:autoSpaceDE w:val="0"/>
        <w:autoSpaceDN w:val="0"/>
        <w:adjustRightInd w:val="0"/>
        <w:ind w:firstLine="567"/>
        <w:jc w:val="both"/>
        <w:rPr>
          <w:rFonts w:ascii="GHEA Grapalat" w:hAnsi="GHEA Grapalat"/>
          <w:sz w:val="22"/>
          <w:szCs w:val="22"/>
          <w:lang w:val="hy-AM"/>
        </w:rPr>
      </w:pPr>
      <w:bookmarkStart w:id="9" w:name="_Toc71283305"/>
    </w:p>
    <w:p w:rsidR="00563135" w:rsidRPr="002915CB"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0" w:name="_Toc71311879"/>
      <w:bookmarkStart w:id="11" w:name="_Toc165291595"/>
      <w:r w:rsidRPr="002915CB">
        <w:rPr>
          <w:rFonts w:ascii="GHEA Grapalat" w:hAnsi="GHEA Grapalat"/>
          <w:i w:val="0"/>
          <w:noProof/>
          <w:sz w:val="22"/>
          <w:szCs w:val="22"/>
          <w:lang w:val="de-AT"/>
        </w:rPr>
        <w:t>ՄԱԿՐՈՏՆՏԵՍԱԿԱՆ ԶԱՐԳԱՑՈՒՄՆԵՐ</w:t>
      </w:r>
      <w:bookmarkEnd w:id="9"/>
      <w:bookmarkEnd w:id="10"/>
      <w:bookmarkEnd w:id="11"/>
    </w:p>
    <w:p w:rsidR="00563135" w:rsidRPr="002915CB"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2" w:name="_Toc71283306"/>
      <w:bookmarkStart w:id="13" w:name="_Toc71311880"/>
      <w:bookmarkStart w:id="14" w:name="_Toc165291596"/>
      <w:r w:rsidRPr="002915CB">
        <w:rPr>
          <w:rFonts w:ascii="GHEA Grapalat" w:hAnsi="GHEA Grapalat"/>
          <w:bCs/>
          <w:i w:val="0"/>
          <w:noProof/>
          <w:sz w:val="22"/>
          <w:szCs w:val="22"/>
          <w:lang w:val="de-AT"/>
        </w:rPr>
        <w:t>Արտաքին միջավայրի զարգացումներ</w:t>
      </w:r>
      <w:bookmarkEnd w:id="12"/>
      <w:bookmarkEnd w:id="13"/>
      <w:bookmarkEnd w:id="14"/>
    </w:p>
    <w:p w:rsidR="00563135" w:rsidRPr="002915CB" w:rsidRDefault="00563135" w:rsidP="00E22A16">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Տնտեսական զարգացումներ:</w:t>
      </w:r>
      <w:r w:rsidRPr="002915CB">
        <w:rPr>
          <w:rFonts w:ascii="GHEA Grapalat" w:hAnsi="GHEA Grapalat" w:cs="GHEA Grapalat"/>
          <w:sz w:val="22"/>
          <w:szCs w:val="22"/>
          <w:lang w:val="hy-AM"/>
        </w:rPr>
        <w:t xml:space="preserve"> </w:t>
      </w:r>
      <w:r w:rsidR="00DB55AD" w:rsidRPr="002915CB">
        <w:rPr>
          <w:rFonts w:ascii="GHEA Grapalat" w:hAnsi="GHEA Grapalat" w:cs="GHEA Grapalat"/>
          <w:sz w:val="22"/>
          <w:szCs w:val="22"/>
          <w:lang w:val="hy-AM"/>
        </w:rPr>
        <w:t>2022 թվականի առաջին կիսամյակում հիմնական գործընկեր երկրների տնտեսություններում նկատվել են տնտեսական աճերի դանդաղումներ՝ ռուս-ուկրաինական հակամարտությամբ և դրա արդյունքում ՌԴ-ի նկատմամբ կիրառվող աննախադեպ պատժամիջոցների բացասական ազդեցություններով պայմանավորված։ Ապրիլ ամսից ՌԴ-ում դրսևորվել է տնտեսական ակտիվության անկում: 2022 թվականի առաջին կիսամյակում նախորդ տարվա համապատասխան ժամանակահատվածի նկատմամբ ԱՄՆ տնտեսությունը գրանցել է 2.6% աճ, ընդ որում՝ երկրորդ եռամսյա</w:t>
      </w:r>
      <w:r w:rsidR="00877AB1">
        <w:rPr>
          <w:rFonts w:ascii="GHEA Grapalat" w:hAnsi="GHEA Grapalat" w:cs="GHEA Grapalat"/>
          <w:sz w:val="22"/>
          <w:szCs w:val="22"/>
          <w:lang w:val="hy-AM"/>
        </w:rPr>
        <w:t>կում արձանագրվել է 1.6% աճ, Եվր</w:t>
      </w:r>
      <w:r w:rsidR="00877AB1" w:rsidRPr="00FF3485">
        <w:rPr>
          <w:rFonts w:ascii="GHEA Grapalat" w:hAnsi="GHEA Grapalat" w:cs="GHEA Grapalat"/>
          <w:sz w:val="22"/>
          <w:szCs w:val="22"/>
          <w:lang w:val="hy-AM"/>
        </w:rPr>
        <w:t>ա</w:t>
      </w:r>
      <w:r w:rsidR="00DB55AD" w:rsidRPr="002915CB">
        <w:rPr>
          <w:rFonts w:ascii="GHEA Grapalat" w:hAnsi="GHEA Grapalat" w:cs="GHEA Grapalat"/>
          <w:sz w:val="22"/>
          <w:szCs w:val="22"/>
          <w:lang w:val="hy-AM"/>
        </w:rPr>
        <w:t>գոտու տնտեսությունն աճել է 4.7%-ով</w:t>
      </w:r>
      <w:r w:rsidR="00DB55AD" w:rsidRPr="002915CB">
        <w:rPr>
          <w:rFonts w:ascii="GHEA Grapalat" w:hAnsi="GHEA Grapalat"/>
          <w:sz w:val="22"/>
          <w:szCs w:val="22"/>
          <w:vertAlign w:val="superscript"/>
          <w:lang w:val="hy-AM"/>
        </w:rPr>
        <w:footnoteReference w:id="1"/>
      </w:r>
      <w:r w:rsidR="00877AB1" w:rsidRPr="00FF3485">
        <w:rPr>
          <w:rFonts w:ascii="GHEA Grapalat" w:hAnsi="GHEA Grapalat" w:cs="GHEA Grapalat"/>
          <w:sz w:val="22"/>
          <w:szCs w:val="22"/>
          <w:lang w:val="hy-AM"/>
        </w:rPr>
        <w:t>,</w:t>
      </w:r>
      <w:r w:rsidR="00DB55AD" w:rsidRPr="002915CB">
        <w:rPr>
          <w:rFonts w:ascii="GHEA Grapalat" w:hAnsi="GHEA Grapalat" w:cs="GHEA Grapalat"/>
          <w:sz w:val="22"/>
          <w:szCs w:val="22"/>
          <w:lang w:val="hy-AM"/>
        </w:rPr>
        <w:t xml:space="preserve"> երկրորդ եռամսյակում` 4%</w:t>
      </w:r>
      <w:r w:rsidR="00877AB1" w:rsidRPr="00FF3485">
        <w:rPr>
          <w:rFonts w:ascii="GHEA Grapalat" w:hAnsi="GHEA Grapalat" w:cs="GHEA Grapalat"/>
          <w:sz w:val="22"/>
          <w:szCs w:val="22"/>
          <w:lang w:val="hy-AM"/>
        </w:rPr>
        <w:t>-ով</w:t>
      </w:r>
      <w:r w:rsidR="00DB55AD" w:rsidRPr="002915CB">
        <w:rPr>
          <w:rFonts w:ascii="GHEA Grapalat" w:hAnsi="GHEA Grapalat" w:cs="GHEA Grapalat"/>
          <w:sz w:val="22"/>
          <w:szCs w:val="22"/>
          <w:lang w:val="hy-AM"/>
        </w:rPr>
        <w:t>, իսկ Չինաստանում գրանցվել է 2.6% տնտեսական աճ</w:t>
      </w:r>
      <w:r w:rsidR="00DB55AD" w:rsidRPr="002915CB">
        <w:rPr>
          <w:rFonts w:ascii="GHEA Grapalat" w:hAnsi="GHEA Grapalat"/>
          <w:sz w:val="22"/>
          <w:szCs w:val="22"/>
          <w:vertAlign w:val="superscript"/>
          <w:lang w:val="hy-AM"/>
        </w:rPr>
        <w:footnoteReference w:id="2"/>
      </w:r>
      <w:r w:rsidR="00DB55AD" w:rsidRPr="002915CB">
        <w:rPr>
          <w:rFonts w:ascii="GHEA Grapalat" w:hAnsi="GHEA Grapalat" w:cs="GHEA Grapalat"/>
          <w:sz w:val="22"/>
          <w:szCs w:val="22"/>
          <w:lang w:val="hy-AM"/>
        </w:rPr>
        <w:t>, երկրորդ եռամսյակում` 0.4% աճ: Ռուսաստանի տնտեսությունը 2022 թվականի առաջին կիսամյակում նախորդ տարվա նույն ժամանակահատվածի նկատմամբ 0.5% նվազում է գրանցել, ընդ որում՝ երկրորդ եռամսյակում տնտեսական անկումներ են գրանցվել։ Այսպես՝ Ռո</w:t>
      </w:r>
      <w:r w:rsidR="00877AB1">
        <w:rPr>
          <w:rFonts w:ascii="GHEA Grapalat" w:hAnsi="GHEA Grapalat" w:cs="GHEA Grapalat"/>
          <w:sz w:val="22"/>
          <w:szCs w:val="22"/>
          <w:lang w:val="hy-AM"/>
        </w:rPr>
        <w:t>ւսաստանի տնտեսական ակտիվություն</w:t>
      </w:r>
      <w:r w:rsidR="00877AB1" w:rsidRPr="00FF3485">
        <w:rPr>
          <w:rFonts w:ascii="GHEA Grapalat" w:hAnsi="GHEA Grapalat" w:cs="GHEA Grapalat"/>
          <w:sz w:val="22"/>
          <w:szCs w:val="22"/>
          <w:lang w:val="hy-AM"/>
        </w:rPr>
        <w:t>ը</w:t>
      </w:r>
      <w:r w:rsidR="00DB55AD" w:rsidRPr="002915CB">
        <w:rPr>
          <w:rFonts w:ascii="GHEA Grapalat" w:hAnsi="GHEA Grapalat" w:cs="GHEA Grapalat"/>
          <w:sz w:val="22"/>
          <w:szCs w:val="22"/>
          <w:lang w:val="hy-AM"/>
        </w:rPr>
        <w:t xml:space="preserve"> մինչև մարտ գրանցած աճի տեմպերի դանդաղումից հետո ապրիլին նվազել է 2</w:t>
      </w:r>
      <w:r w:rsidR="00DB55AD" w:rsidRPr="002915CB">
        <w:rPr>
          <w:rFonts w:ascii="Cambria Math" w:hAnsi="Cambria Math" w:cs="Cambria Math"/>
          <w:sz w:val="22"/>
          <w:szCs w:val="22"/>
          <w:lang w:val="hy-AM"/>
        </w:rPr>
        <w:t>․</w:t>
      </w:r>
      <w:r w:rsidR="00DB55AD" w:rsidRPr="002915CB">
        <w:rPr>
          <w:rFonts w:ascii="GHEA Grapalat" w:hAnsi="GHEA Grapalat" w:cs="GHEA Grapalat"/>
          <w:sz w:val="22"/>
          <w:szCs w:val="22"/>
          <w:lang w:val="hy-AM"/>
        </w:rPr>
        <w:t>8%-ով, մայիսն՝ 4.3%-ով, իսկ հունիսին՝ 4.9%</w:t>
      </w:r>
      <w:r w:rsidR="00D431C6" w:rsidRPr="002915CB">
        <w:rPr>
          <w:rFonts w:ascii="GHEA Grapalat" w:hAnsi="GHEA Grapalat" w:cs="GHEA Grapalat"/>
          <w:sz w:val="22"/>
          <w:szCs w:val="22"/>
          <w:lang w:val="hy-AM"/>
        </w:rPr>
        <w:t>-ով</w:t>
      </w:r>
      <w:r w:rsidR="00DB55AD" w:rsidRPr="002915CB">
        <w:rPr>
          <w:rFonts w:ascii="GHEA Grapalat" w:hAnsi="GHEA Grapalat"/>
          <w:sz w:val="22"/>
          <w:szCs w:val="22"/>
          <w:vertAlign w:val="superscript"/>
          <w:lang w:val="hy-AM"/>
        </w:rPr>
        <w:footnoteReference w:id="3"/>
      </w:r>
      <w:r w:rsidR="00DB55AD" w:rsidRPr="002915CB">
        <w:rPr>
          <w:rFonts w:ascii="GHEA Grapalat" w:hAnsi="GHEA Grapalat" w:cs="GHEA Grapalat"/>
          <w:sz w:val="22"/>
          <w:szCs w:val="22"/>
          <w:lang w:val="hy-AM"/>
        </w:rPr>
        <w:t>:</w:t>
      </w:r>
    </w:p>
    <w:p w:rsidR="00563135" w:rsidRPr="002915CB" w:rsidRDefault="00563135" w:rsidP="00E22A16">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Միջազգային գներ</w:t>
      </w:r>
      <w:r w:rsidRPr="002915CB">
        <w:rPr>
          <w:rFonts w:ascii="GHEA Grapalat" w:hAnsi="GHEA Grapalat"/>
          <w:b/>
          <w:i/>
          <w:sz w:val="22"/>
          <w:szCs w:val="22"/>
          <w:vertAlign w:val="superscript"/>
          <w:lang w:val="hy-AM"/>
        </w:rPr>
        <w:footnoteReference w:id="4"/>
      </w:r>
      <w:r w:rsidRPr="002915CB">
        <w:rPr>
          <w:rFonts w:ascii="GHEA Grapalat" w:hAnsi="GHEA Grapalat" w:cs="GHEA Grapalat"/>
          <w:b/>
          <w:i/>
          <w:sz w:val="22"/>
          <w:szCs w:val="22"/>
          <w:lang w:val="hy-AM"/>
        </w:rPr>
        <w:t>:</w:t>
      </w:r>
      <w:r w:rsidRPr="002915CB">
        <w:rPr>
          <w:rFonts w:ascii="GHEA Grapalat" w:hAnsi="GHEA Grapalat" w:cs="GHEA Grapalat"/>
          <w:sz w:val="22"/>
          <w:szCs w:val="22"/>
          <w:lang w:val="hy-AM"/>
        </w:rPr>
        <w:t xml:space="preserve"> </w:t>
      </w:r>
      <w:r w:rsidR="00DB55AD" w:rsidRPr="002915CB">
        <w:rPr>
          <w:rFonts w:ascii="GHEA Grapalat" w:hAnsi="GHEA Grapalat" w:cs="GHEA Grapalat"/>
          <w:sz w:val="22"/>
          <w:szCs w:val="22"/>
          <w:lang w:val="hy-AM"/>
        </w:rPr>
        <w:t>Հիմնականում պայմանավորված համաշխարհային տնտեսության վերականգմամբ՝ տարեսկզբից միջազգային շուկայում հումքային ապրանքների գների նախորդ տարվա աճի միտումը պահպանվում է: Նավթի միջազգային գները 2022 թվականի առաջին կիսամյակում աճել են միջինում 63.9%-ով՝ 2022 թվականի հունիսին կազմելով 120.1 դոլար մեկ բարելի համար: Պղնձի միջազգային գները շարունակում են աճել, սակայն ավելի դանդաղ տեմպերով</w:t>
      </w:r>
      <w:r w:rsidR="00DB55AD" w:rsidRPr="002915CB">
        <w:rPr>
          <w:rFonts w:ascii="Cambria Math" w:hAnsi="Cambria Math" w:cs="Cambria Math"/>
          <w:sz w:val="22"/>
          <w:szCs w:val="22"/>
          <w:lang w:val="hy-AM"/>
        </w:rPr>
        <w:t>․</w:t>
      </w:r>
      <w:r w:rsidR="00DB55AD" w:rsidRPr="002915CB">
        <w:rPr>
          <w:rFonts w:ascii="GHEA Grapalat" w:hAnsi="GHEA Grapalat" w:cs="GHEA Grapalat"/>
          <w:sz w:val="22"/>
          <w:szCs w:val="22"/>
          <w:lang w:val="hy-AM"/>
        </w:rPr>
        <w:t xml:space="preserve"> 2022 թվականի առաջին կիսամյակում պղնձի միջազգային գներն աճել են 7.3%-ով՝ 2022 թվականի հունիսին կազմելով 9024.5 դոլար մեկ տոննայի համար։ Աճի դանդաղումը հիմնականում պայմանավորված է Չինաստանի տնտեսական աճի դանդաղումով։ Պարենի միջազգային գները</w:t>
      </w:r>
      <w:r w:rsidR="00DB55AD" w:rsidRPr="002915CB">
        <w:rPr>
          <w:rFonts w:ascii="GHEA Grapalat" w:hAnsi="GHEA Grapalat"/>
          <w:sz w:val="22"/>
          <w:szCs w:val="22"/>
          <w:vertAlign w:val="superscript"/>
          <w:lang w:val="hy-AM"/>
        </w:rPr>
        <w:footnoteReference w:id="5"/>
      </w:r>
      <w:r w:rsidR="00DB55AD" w:rsidRPr="002915CB">
        <w:rPr>
          <w:rFonts w:ascii="GHEA Grapalat" w:hAnsi="GHEA Grapalat" w:cs="GHEA Grapalat"/>
          <w:sz w:val="22"/>
          <w:szCs w:val="22"/>
          <w:lang w:val="hy-AM"/>
        </w:rPr>
        <w:t xml:space="preserve"> 1990 թվականից ի վեր 2022 թվականի մարտ ամսին գրանցած պատմական թռիչքից հետո սկսել են ցուցաբերել աճի դանդաղման միտում։ Այսպես՝ հունիս ամսին պարենի միջազգային գների ինդեքսը </w:t>
      </w:r>
      <w:r w:rsidR="00DB55AD" w:rsidRPr="002915CB">
        <w:rPr>
          <w:rFonts w:ascii="GHEA Grapalat" w:hAnsi="GHEA Grapalat" w:cs="GHEA Grapalat"/>
          <w:sz w:val="22"/>
          <w:szCs w:val="22"/>
          <w:lang w:val="hy-AM"/>
        </w:rPr>
        <w:lastRenderedPageBreak/>
        <w:t>կազմել է 154.2</w:t>
      </w:r>
      <w:r w:rsidR="003D7AF4" w:rsidRPr="00FF3485">
        <w:rPr>
          <w:rFonts w:ascii="GHEA Grapalat" w:hAnsi="GHEA Grapalat" w:cs="GHEA Grapalat"/>
          <w:sz w:val="22"/>
          <w:szCs w:val="22"/>
          <w:lang w:val="hy-AM"/>
        </w:rPr>
        <w:t>`</w:t>
      </w:r>
      <w:r w:rsidR="00DB55AD" w:rsidRPr="002915CB">
        <w:rPr>
          <w:rFonts w:ascii="GHEA Grapalat" w:hAnsi="GHEA Grapalat" w:cs="GHEA Grapalat"/>
          <w:sz w:val="22"/>
          <w:szCs w:val="22"/>
          <w:lang w:val="hy-AM"/>
        </w:rPr>
        <w:t xml:space="preserve"> </w:t>
      </w:r>
      <w:r w:rsidR="00877AB1">
        <w:rPr>
          <w:rFonts w:ascii="GHEA Grapalat" w:hAnsi="GHEA Grapalat" w:cs="GHEA Grapalat"/>
          <w:sz w:val="22"/>
          <w:szCs w:val="22"/>
          <w:lang w:val="hy-AM"/>
        </w:rPr>
        <w:t>նախորդ ամսվա 157.9-ի դիմաց՝ մեծ</w:t>
      </w:r>
      <w:r w:rsidR="00877AB1" w:rsidRPr="00FF3485">
        <w:rPr>
          <w:rFonts w:ascii="GHEA Grapalat" w:hAnsi="GHEA Grapalat" w:cs="GHEA Grapalat"/>
          <w:sz w:val="22"/>
          <w:szCs w:val="22"/>
          <w:lang w:val="hy-AM"/>
        </w:rPr>
        <w:t xml:space="preserve"> </w:t>
      </w:r>
      <w:r w:rsidR="00DB55AD" w:rsidRPr="002915CB">
        <w:rPr>
          <w:rFonts w:ascii="GHEA Grapalat" w:hAnsi="GHEA Grapalat" w:cs="GHEA Grapalat"/>
          <w:sz w:val="22"/>
          <w:szCs w:val="22"/>
          <w:lang w:val="hy-AM"/>
        </w:rPr>
        <w:t xml:space="preserve">մասամբ պայմանավորված բուսական յուղերի, հացահատիկի, շաքարավազի </w:t>
      </w:r>
      <w:r w:rsidR="003D7AF4" w:rsidRPr="002915CB">
        <w:rPr>
          <w:rFonts w:ascii="GHEA Grapalat" w:hAnsi="GHEA Grapalat" w:cs="GHEA Grapalat"/>
          <w:sz w:val="22"/>
          <w:szCs w:val="22"/>
          <w:lang w:val="hy-AM"/>
        </w:rPr>
        <w:t>միջազգային գների նվազ</w:t>
      </w:r>
      <w:r w:rsidR="003D7AF4" w:rsidRPr="00FF3485">
        <w:rPr>
          <w:rFonts w:ascii="GHEA Grapalat" w:hAnsi="GHEA Grapalat" w:cs="GHEA Grapalat"/>
          <w:sz w:val="22"/>
          <w:szCs w:val="22"/>
          <w:lang w:val="hy-AM"/>
        </w:rPr>
        <w:t>մամբ</w:t>
      </w:r>
      <w:r w:rsidR="00DB55AD" w:rsidRPr="002915CB">
        <w:rPr>
          <w:rFonts w:ascii="GHEA Grapalat" w:hAnsi="GHEA Grapalat" w:cs="GHEA Grapalat"/>
          <w:sz w:val="22"/>
          <w:szCs w:val="22"/>
          <w:lang w:val="hy-AM"/>
        </w:rPr>
        <w:t>, թեև որոշ ապրանքների գներ փոքր-ինչ աճել են (կաթնամթերք և մսամթերք)։</w:t>
      </w:r>
    </w:p>
    <w:p w:rsidR="00563135" w:rsidRPr="002915CB"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5" w:name="_Toc71283307"/>
      <w:bookmarkStart w:id="16" w:name="_Toc71311881"/>
      <w:bookmarkStart w:id="17" w:name="_Toc165291597"/>
      <w:r w:rsidRPr="002915CB">
        <w:rPr>
          <w:rFonts w:ascii="GHEA Grapalat" w:hAnsi="GHEA Grapalat"/>
          <w:bCs/>
          <w:i w:val="0"/>
          <w:noProof/>
          <w:sz w:val="22"/>
          <w:szCs w:val="22"/>
          <w:lang w:val="de-AT"/>
        </w:rPr>
        <w:t>ՀՀ մակրոտնտեսական զարգացումներ</w:t>
      </w:r>
      <w:bookmarkEnd w:id="15"/>
      <w:bookmarkEnd w:id="16"/>
      <w:bookmarkEnd w:id="17"/>
    </w:p>
    <w:p w:rsidR="00563135" w:rsidRPr="002915CB" w:rsidRDefault="00563135" w:rsidP="00563135">
      <w:pPr>
        <w:pStyle w:val="Heading6"/>
        <w:ind w:left="567"/>
        <w:rPr>
          <w:rFonts w:ascii="GHEA Grapalat" w:hAnsi="GHEA Grapalat"/>
          <w:b/>
          <w:sz w:val="22"/>
          <w:szCs w:val="22"/>
          <w:u w:val="none"/>
        </w:rPr>
      </w:pPr>
      <w:bookmarkStart w:id="18" w:name="_Toc71311882"/>
      <w:r w:rsidRPr="002915CB">
        <w:rPr>
          <w:rFonts w:ascii="GHEA Grapalat" w:hAnsi="GHEA Grapalat"/>
          <w:b/>
          <w:sz w:val="22"/>
          <w:szCs w:val="22"/>
          <w:u w:val="none"/>
        </w:rPr>
        <w:t>Համախառն առաջարկ և պահանջարկ</w:t>
      </w:r>
      <w:bookmarkEnd w:id="18"/>
    </w:p>
    <w:p w:rsidR="00747183" w:rsidRPr="002915CB" w:rsidRDefault="00563135"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Համախառն առաջարկ:</w:t>
      </w:r>
      <w:r w:rsidR="002B5EBD" w:rsidRPr="002915CB">
        <w:rPr>
          <w:rFonts w:ascii="GHEA Grapalat" w:hAnsi="GHEA Grapalat" w:cs="GHEA Grapalat"/>
          <w:sz w:val="22"/>
          <w:szCs w:val="22"/>
          <w:lang w:val="hy-AM"/>
        </w:rPr>
        <w:t xml:space="preserve"> </w:t>
      </w:r>
      <w:r w:rsidR="00747183" w:rsidRPr="002915CB">
        <w:rPr>
          <w:rFonts w:ascii="GHEA Grapalat" w:hAnsi="GHEA Grapalat" w:cs="GHEA Grapalat"/>
          <w:sz w:val="22"/>
          <w:szCs w:val="22"/>
          <w:lang w:val="hy-AM"/>
        </w:rPr>
        <w:t>ՀՀ տնտեսության վերականգնման տարեսկզբի բարձր տեմպերը 2022 թվականի փետրվարի վերջերից սկիզբ առած ռուս-ուկրաինական հակամարտության և Ռուսաստանի դեմ կիրառված պատժամիջոցների բացասական ազդեցությունների արդյունքում մարտ ամսին դանդաղեցին։ Ապրիլ ամսից հակամարտող երկրներից դեպի Հայաստան մարդկանց նե</w:t>
      </w:r>
      <w:r w:rsidR="008F3497">
        <w:rPr>
          <w:rFonts w:ascii="GHEA Grapalat" w:hAnsi="GHEA Grapalat" w:cs="GHEA Grapalat"/>
          <w:sz w:val="22"/>
          <w:szCs w:val="22"/>
          <w:lang w:val="hy-AM"/>
        </w:rPr>
        <w:t>րհոսք</w:t>
      </w:r>
      <w:r w:rsidR="008F3497" w:rsidRPr="00FF3485">
        <w:rPr>
          <w:rFonts w:ascii="GHEA Grapalat" w:hAnsi="GHEA Grapalat" w:cs="GHEA Grapalat"/>
          <w:sz w:val="22"/>
          <w:szCs w:val="22"/>
          <w:lang w:val="hy-AM"/>
        </w:rPr>
        <w:t>ի</w:t>
      </w:r>
      <w:r w:rsidR="00747183" w:rsidRPr="002915CB">
        <w:rPr>
          <w:rFonts w:ascii="GHEA Grapalat" w:hAnsi="GHEA Grapalat" w:cs="GHEA Grapalat"/>
          <w:sz w:val="22"/>
          <w:szCs w:val="22"/>
          <w:lang w:val="hy-AM"/>
        </w:rPr>
        <w:t>, ինչպես նաև զբոսաշրջության զգալի ավելացման և տեղեկատվական տեխնոլոգիաների ոլորտի ընկերությունների</w:t>
      </w:r>
      <w:r w:rsidR="008F3497" w:rsidRPr="00FF3485">
        <w:rPr>
          <w:rFonts w:ascii="GHEA Grapalat" w:hAnsi="GHEA Grapalat" w:cs="GHEA Grapalat"/>
          <w:sz w:val="22"/>
          <w:szCs w:val="22"/>
          <w:lang w:val="hy-AM"/>
        </w:rPr>
        <w:t>՝</w:t>
      </w:r>
      <w:r w:rsidR="00747183" w:rsidRPr="002915CB">
        <w:rPr>
          <w:rFonts w:ascii="GHEA Grapalat" w:hAnsi="GHEA Grapalat" w:cs="GHEA Grapalat"/>
          <w:sz w:val="22"/>
          <w:szCs w:val="22"/>
          <w:lang w:val="hy-AM"/>
        </w:rPr>
        <w:t xml:space="preserve"> ՀՀ տեղափոխման արդյունքում տնտեսական ակտիվության աճի տեմպերը կտրուկ արագացան: Առաջին կիսամյակում նախորդ տարվա նույն ժամանակահատվածի համեմատ գրանցվեց տնտեսական ակտիվության ցուցանիշի (ՏԱՑ) 11.8% աճ (Գծապատկերներ 1-4)։ Տնտեսական ակտիվության աճը հիմնականում պայմանավորված էր ծառայությունների աճով (նպաստումը` 12.3 տոկոսային կետ): Առևտրի, արդյունաբերության և շինարարության աճերը ևս նպաստեցին տնտեսական ակտիվությանը (համապատասխանաբար՝ 1.3, 1.3 և 0.9 տոկոսային կետ), մինչդեռ գյուղատնտեսության նվազումը 0.7 տոկոսային կետով հակազդեց տնտեսական ակտիվությանը:</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փետրվարի 24-ից մեկնարկած ռուս-ուկրաինական պատերազմի և Ռուսաստանի դեմ կիրառված պատժամիջոցների բացասական ազդեցությունները ՀՀ տնտեսության վրա նկատվեցին մարտ ամսին։ Մասնավորապես՝ մարտ ամսին գրանցվեց արդյունաբերության նվազում (նախորդ տարվա մարտի նկատմամբ 6.4%-ով)՝ պայմանավորված Թեղուտի հանքի գործունեության դադարեցմամբ,</w:t>
      </w:r>
      <w:r w:rsidRPr="002915CB" w:rsidDel="00630B41">
        <w:rPr>
          <w:rFonts w:ascii="GHEA Grapalat" w:hAnsi="GHEA Grapalat" w:cs="GHEA Grapalat"/>
          <w:sz w:val="22"/>
          <w:szCs w:val="22"/>
          <w:lang w:val="hy-AM"/>
        </w:rPr>
        <w:t xml:space="preserve"> </w:t>
      </w:r>
      <w:r w:rsidRPr="002915CB">
        <w:rPr>
          <w:rFonts w:ascii="GHEA Grapalat" w:hAnsi="GHEA Grapalat" w:cs="GHEA Grapalat"/>
          <w:sz w:val="22"/>
          <w:szCs w:val="22"/>
          <w:lang w:val="hy-AM"/>
        </w:rPr>
        <w:t>ՌԴ տնտեսական աճի դանդաղմամբ ու հումքային և պարենային ապրանքների մատակարարման շղթաների որոշ խաթարումներով: Սակայն պատկերը փոխվեց ապրիլ ամսից, նախ միջազգային զբոսաշրջիկների կտրուկ ավելացման (2022թ. առաջին կիսամյակում նախորդ տարվա նույն ժամանակահատվածի նկատմամբ 2.4 անգամ) և ՌԴ-ից ՏՏ ոլորտի աշխատակիցների և ընկերությունների</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ՀՀ տեղափոխման արդյունքում ծառայությունների, առևտրի ոլորտներում նկատվեց աճի տեմպերի արագացում: 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 ինչի արդյունքում արդյունաբերության ճյուղը սկսեց վերականգնվել: Տնտեսական դրական զարգացումներին իր </w:t>
      </w:r>
      <w:r w:rsidRPr="002915CB">
        <w:rPr>
          <w:rFonts w:ascii="GHEA Grapalat" w:hAnsi="GHEA Grapalat" w:cs="GHEA Grapalat"/>
          <w:sz w:val="22"/>
          <w:szCs w:val="22"/>
          <w:lang w:val="hy-AM"/>
        </w:rPr>
        <w:lastRenderedPageBreak/>
        <w:t>նպաստումն է ունեցել բնակարանային շինարարության ոլորտի բարձր աշխուժությունը, որին նպաստել է հի</w:t>
      </w:r>
      <w:r w:rsidR="008F3497" w:rsidRPr="00FF3485">
        <w:rPr>
          <w:rFonts w:ascii="GHEA Grapalat" w:hAnsi="GHEA Grapalat" w:cs="GHEA Grapalat"/>
          <w:sz w:val="22"/>
          <w:szCs w:val="22"/>
          <w:lang w:val="hy-AM"/>
        </w:rPr>
        <w:t>պ</w:t>
      </w:r>
      <w:r w:rsidRPr="002915CB">
        <w:rPr>
          <w:rFonts w:ascii="GHEA Grapalat" w:hAnsi="GHEA Grapalat" w:cs="GHEA Grapalat"/>
          <w:sz w:val="22"/>
          <w:szCs w:val="22"/>
          <w:lang w:val="hy-AM"/>
        </w:rPr>
        <w:t>ո</w:t>
      </w:r>
      <w:r w:rsidR="008F3497" w:rsidRPr="00FF3485">
        <w:rPr>
          <w:rFonts w:ascii="GHEA Grapalat" w:hAnsi="GHEA Grapalat" w:cs="GHEA Grapalat"/>
          <w:sz w:val="22"/>
          <w:szCs w:val="22"/>
          <w:lang w:val="hy-AM"/>
        </w:rPr>
        <w:t>տ</w:t>
      </w:r>
      <w:r w:rsidRPr="002915CB">
        <w:rPr>
          <w:rFonts w:ascii="GHEA Grapalat" w:hAnsi="GHEA Grapalat" w:cs="GHEA Grapalat"/>
          <w:sz w:val="22"/>
          <w:szCs w:val="22"/>
          <w:lang w:val="hy-AM"/>
        </w:rPr>
        <w:t>ե</w:t>
      </w:r>
      <w:r w:rsidR="008F3497" w:rsidRPr="00FF3485">
        <w:rPr>
          <w:rFonts w:ascii="GHEA Grapalat" w:hAnsi="GHEA Grapalat" w:cs="GHEA Grapalat"/>
          <w:sz w:val="22"/>
          <w:szCs w:val="22"/>
          <w:lang w:val="hy-AM"/>
        </w:rPr>
        <w:t>կ</w:t>
      </w:r>
      <w:r w:rsidRPr="002915CB">
        <w:rPr>
          <w:rFonts w:ascii="GHEA Grapalat" w:hAnsi="GHEA Grapalat" w:cs="GHEA Grapalat"/>
          <w:sz w:val="22"/>
          <w:szCs w:val="22"/>
          <w:lang w:val="hy-AM"/>
        </w:rPr>
        <w:t>ային վարկերի տոկոսավճարների</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եկամտահարկից վերադարձման պետական աջակցության ծրագիրը, ծրագրի աստիճանական Երևան քաղաքից 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Առաջին կիսամյակում կորոնավիրուսի համավարակի հինգերորդ ալիքի, ինչպես նաև բնակչության շրջանում պատվաստման աճող, սակայն դեռևս համեմատաբար ցածր մակարդակի</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ազդեցությունները տնտեսության զարգացումների վրա չեն նկատվել</w:t>
      </w:r>
      <w:r w:rsidRPr="002915CB">
        <w:rPr>
          <w:rFonts w:ascii="GHEA Grapalat" w:hAnsi="GHEA Grapalat" w:cs="GHEA Grapalat"/>
          <w:sz w:val="22"/>
          <w:szCs w:val="22"/>
          <w:vertAlign w:val="superscript"/>
          <w:lang w:val="hy-AM"/>
        </w:rPr>
        <w:footnoteReference w:id="6"/>
      </w:r>
      <w:r w:rsidRPr="002915CB">
        <w:rPr>
          <w:rFonts w:ascii="GHEA Grapalat" w:hAnsi="GHEA Grapalat" w:cs="GHEA Grapalat"/>
          <w:sz w:val="22"/>
          <w:szCs w:val="22"/>
          <w:lang w:val="hy-AM"/>
        </w:rPr>
        <w:t xml:space="preserve">։ </w:t>
      </w:r>
    </w:p>
    <w:p w:rsidR="00747183" w:rsidRPr="00FF3485"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Արդյունաբերություն</w:t>
      </w:r>
      <w:r w:rsidRPr="002915CB">
        <w:rPr>
          <w:rFonts w:ascii="GHEA Grapalat" w:hAnsi="GHEA Grapalat" w:cs="GHEA Grapalat"/>
          <w:b/>
          <w:i/>
          <w:sz w:val="22"/>
          <w:szCs w:val="22"/>
          <w:vertAlign w:val="superscript"/>
          <w:lang w:val="hy-AM"/>
        </w:rPr>
        <w:footnoteReference w:id="7"/>
      </w:r>
      <w:r w:rsidRPr="002915CB">
        <w:rPr>
          <w:rFonts w:ascii="GHEA Grapalat" w:hAnsi="GHEA Grapalat" w:cs="GHEA Grapalat"/>
          <w:b/>
          <w:i/>
          <w:sz w:val="22"/>
          <w:szCs w:val="22"/>
          <w:lang w:val="hy-AM"/>
        </w:rPr>
        <w:t>։</w:t>
      </w:r>
      <w:r w:rsidRPr="00FF3485">
        <w:rPr>
          <w:rFonts w:ascii="GHEA Grapalat" w:eastAsia="GHEA Grapalat" w:hAnsi="GHEA Grapalat" w:cs="GHEA Grapalat"/>
          <w:b/>
          <w:sz w:val="22"/>
          <w:szCs w:val="22"/>
          <w:lang w:val="hy-AM"/>
        </w:rPr>
        <w:t xml:space="preserve"> </w:t>
      </w:r>
      <w:r w:rsidRPr="002915CB">
        <w:rPr>
          <w:rFonts w:ascii="GHEA Grapalat" w:hAnsi="GHEA Grapalat" w:cs="GHEA Grapalat"/>
          <w:sz w:val="22"/>
          <w:szCs w:val="22"/>
          <w:lang w:val="hy-AM"/>
        </w:rPr>
        <w:t>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պատժամիջոցների բացասական ազդեցություններով: Ապրիլ ամսից արդյունաբերության ճյուղը սկսեց վերականգնվել</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և հունիսին արդյունաբերության ճյուղում գրանցվեց երկնիշ աճ։ Այս պայմաններում 2022 թվականի առաջին կիսամյակում արդյունաբերության համախառն թողարկումն աճել է 5.8%-ով, ինչը հիմնականում պայմանավորված է եղել մշակող արդյունաբերության աճով (նպաստումը՝ 8.6 տոկոսային կետ): Միաժամանակ հանքագործական արդյունաբերություն և բացահանքերի շահագործում</w:t>
      </w:r>
      <w:r w:rsidRPr="002915CB" w:rsidDel="009C46B7">
        <w:rPr>
          <w:rFonts w:ascii="GHEA Grapalat" w:hAnsi="GHEA Grapalat" w:cs="GHEA Grapalat"/>
          <w:sz w:val="22"/>
          <w:szCs w:val="22"/>
          <w:lang w:val="hy-AM"/>
        </w:rPr>
        <w:t xml:space="preserve"> </w:t>
      </w:r>
      <w:r w:rsidRPr="002915CB">
        <w:rPr>
          <w:rFonts w:ascii="GHEA Grapalat" w:hAnsi="GHEA Grapalat" w:cs="GHEA Grapalat"/>
          <w:sz w:val="22"/>
          <w:szCs w:val="22"/>
          <w:lang w:val="hy-AM"/>
        </w:rPr>
        <w:t>ենթաճյուղի նվազումը բացասաբար է ազդել (3.0 տոկոսայ</w:t>
      </w:r>
      <w:r w:rsidR="008F3497">
        <w:rPr>
          <w:rFonts w:ascii="GHEA Grapalat" w:hAnsi="GHEA Grapalat" w:cs="GHEA Grapalat"/>
          <w:sz w:val="22"/>
          <w:szCs w:val="22"/>
          <w:lang w:val="hy-AM"/>
        </w:rPr>
        <w:t>ին կետով) արդյունաբերության աճի</w:t>
      </w:r>
      <w:r w:rsidR="008F3497" w:rsidRPr="00FF3485">
        <w:rPr>
          <w:rFonts w:ascii="GHEA Grapalat" w:hAnsi="GHEA Grapalat" w:cs="GHEA Grapalat"/>
          <w:sz w:val="22"/>
          <w:szCs w:val="22"/>
          <w:lang w:val="hy-AM"/>
        </w:rPr>
        <w:t xml:space="preserve"> վրա</w:t>
      </w:r>
      <w:r w:rsidR="008F3497">
        <w:rPr>
          <w:rFonts w:ascii="GHEA Grapalat" w:hAnsi="GHEA Grapalat" w:cs="GHEA Grapalat"/>
          <w:sz w:val="22"/>
          <w:szCs w:val="22"/>
          <w:lang w:val="hy-AM"/>
        </w:rPr>
        <w:t>:</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Մշակող արդյունաբերության աճին նպաստել են ինչպես ներքին, այնպես էլ արտաքին պահանջարկի աճերը: ՌԴ ներմուծման շուկաների սահմանափակումները և ՌԴ նկատմամբ գնային մրցունակության բարձրացումը նպաստել են ՀՀ-ից դեպի ՌԴ մշակող արդյունաբերության արտահանման ավելացմանը, բացի այդ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սննդամթերքի (նպաստումը` 4.1 տոկոսային կետ), այլ ոչ մետաղական հանքային արտադրատեսակների (նպաստումը` 3.7 տոկոսային կետ), հիմնային մետաղների (նպաստումը` 3.3 տոկոսային կետ), ինչպես նաև ոսկերչական արտադրատեսակների (նպաստումը` 1.1 տոկոսային կետ) արտադրության ծավալների աճով: </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lastRenderedPageBreak/>
        <w:t>Գյուղատնտեսություն։</w:t>
      </w:r>
      <w:r w:rsidRPr="002915CB">
        <w:rPr>
          <w:rFonts w:ascii="GHEA Grapalat" w:hAnsi="GHEA Grapalat" w:cs="GHEA Grapalat"/>
          <w:sz w:val="22"/>
          <w:szCs w:val="22"/>
          <w:lang w:val="hy-AM"/>
        </w:rPr>
        <w:t xml:space="preserve"> Գյուղատնտեսության, անտառային տնտեսության և ձկնորսության համախառն արտադրանքը նվազել է 3.4%-ով՝ հիմնականում պայմանավորված բուսաբուծության և անասնաբուծության նվազմամբ (նպաստումները` համապատասխանաբար 3.5 և 1.6 տոկոսային կետեր)։ Բուսաբուծության նվազումը պայմանավորված է եղել հացահատիկի և հատիկաընդեղենի, կարտոֆիլի</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ինչպես նաև բանջարեղենի համախառն բերքի նվազմամբ, ինչի պատճառ են հանդիսացել ցանքային տարածությունների նվազումը, ինչպես նաև բնակլիմայական պայմանները: Անասնաբուծության նվազումն իր հերթին պայմանավորված է եղել կաթի արտադրության և սպանդի համար նախատեսված գյուղատնտեսական կենդանի</w:t>
      </w:r>
      <w:r w:rsidR="008F3497" w:rsidRPr="00FF3485">
        <w:rPr>
          <w:rFonts w:ascii="GHEA Grapalat" w:hAnsi="GHEA Grapalat" w:cs="GHEA Grapalat"/>
          <w:sz w:val="22"/>
          <w:szCs w:val="22"/>
          <w:lang w:val="hy-AM"/>
        </w:rPr>
        <w:t>ների</w:t>
      </w:r>
      <w:r w:rsidRPr="002915CB">
        <w:rPr>
          <w:rFonts w:ascii="GHEA Grapalat" w:hAnsi="GHEA Grapalat" w:cs="GHEA Grapalat"/>
          <w:sz w:val="22"/>
          <w:szCs w:val="22"/>
          <w:lang w:val="hy-AM"/>
        </w:rPr>
        <w:t xml:space="preserve"> և թռչնի</w:t>
      </w:r>
      <w:r w:rsidRPr="002915CB" w:rsidDel="004E0F55">
        <w:rPr>
          <w:rFonts w:ascii="GHEA Grapalat" w:hAnsi="GHEA Grapalat" w:cs="GHEA Grapalat"/>
          <w:sz w:val="22"/>
          <w:szCs w:val="22"/>
          <w:lang w:val="hy-AM"/>
        </w:rPr>
        <w:t xml:space="preserve"> </w:t>
      </w:r>
      <w:r w:rsidRPr="002915CB">
        <w:rPr>
          <w:rFonts w:ascii="GHEA Grapalat" w:hAnsi="GHEA Grapalat" w:cs="GHEA Grapalat"/>
          <w:sz w:val="22"/>
          <w:szCs w:val="22"/>
          <w:lang w:val="hy-AM"/>
        </w:rPr>
        <w:t>նվազմամբ, ինչի պատճառ է հանդիսացել տնային տնտեսությունների անասնագլխաքանակի նվազումը: Ձկնորսության աճը զգալիորեն հակազդել է ընդհանուր ճյուղի նվազմանը (նպաստումը` 1.7 տոկոսային կետ)։</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Շինարարություն։</w:t>
      </w:r>
      <w:r w:rsidRPr="002915CB">
        <w:rPr>
          <w:rFonts w:ascii="GHEA Grapalat" w:hAnsi="GHEA Grapalat" w:cs="GHEA Grapalat"/>
          <w:sz w:val="22"/>
          <w:szCs w:val="22"/>
          <w:lang w:val="hy-AM"/>
        </w:rPr>
        <w:t xml:space="preserve"> Շինարարության ճյուղում գրանցված 12.7% աճը պայմանավորված է եղել հիմնականում կազմակերպությունների միջոցներով</w:t>
      </w:r>
      <w:r w:rsidRPr="002915CB" w:rsidDel="000521F3">
        <w:rPr>
          <w:rFonts w:ascii="GHEA Grapalat" w:hAnsi="GHEA Grapalat" w:cs="GHEA Grapalat"/>
          <w:sz w:val="22"/>
          <w:szCs w:val="22"/>
          <w:lang w:val="hy-AM"/>
        </w:rPr>
        <w:t xml:space="preserve"> </w:t>
      </w:r>
      <w:r w:rsidRPr="002915CB">
        <w:rPr>
          <w:rFonts w:ascii="GHEA Grapalat" w:hAnsi="GHEA Grapalat" w:cs="GHEA Grapalat"/>
          <w:sz w:val="22"/>
          <w:szCs w:val="22"/>
          <w:lang w:val="hy-AM"/>
        </w:rPr>
        <w:t>իրականացված շինարարության ծավալների աճով (նպաստումը` 11.1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բնակարանային շինա</w:t>
      </w:r>
      <w:r w:rsidR="008F3497" w:rsidRPr="00FF3485">
        <w:rPr>
          <w:rFonts w:ascii="GHEA Grapalat" w:hAnsi="GHEA Grapalat" w:cs="GHEA Grapalat"/>
          <w:sz w:val="22"/>
          <w:szCs w:val="22"/>
          <w:lang w:val="hy-AM"/>
        </w:rPr>
        <w:t>հ</w:t>
      </w:r>
      <w:r w:rsidRPr="002915CB">
        <w:rPr>
          <w:rFonts w:ascii="GHEA Grapalat" w:hAnsi="GHEA Grapalat" w:cs="GHEA Grapalat"/>
          <w:sz w:val="22"/>
          <w:szCs w:val="22"/>
          <w:lang w:val="hy-AM"/>
        </w:rPr>
        <w:t xml:space="preserve">րարության ծավալների աճով, որին նպաստել է </w:t>
      </w:r>
      <w:r w:rsidR="008F3497">
        <w:rPr>
          <w:rFonts w:ascii="GHEA Grapalat" w:hAnsi="GHEA Grapalat" w:cs="GHEA Grapalat"/>
          <w:sz w:val="22"/>
          <w:szCs w:val="22"/>
          <w:lang w:val="hy-AM"/>
        </w:rPr>
        <w:t>հիպոտեկ</w:t>
      </w:r>
      <w:r w:rsidRPr="002915CB">
        <w:rPr>
          <w:rFonts w:ascii="GHEA Grapalat" w:hAnsi="GHEA Grapalat" w:cs="GHEA Grapalat"/>
          <w:sz w:val="22"/>
          <w:szCs w:val="22"/>
          <w:lang w:val="hy-AM"/>
        </w:rPr>
        <w:t>ային վարկերի տոկոսավճարների</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եկամտահարկից վերադարձման պետական աջակցության ծրագիրը, ինչպես նաև օտարերկրյա քաղաքացիների մեծ ներհոսքի պայմաններում բնակարանային շուկայում առաջացած պահանջարկը)։ Շինարարության աճին դրական նպաստում են ունեցել նաև համայնքների (2․0 տոկոսային</w:t>
      </w:r>
      <w:bookmarkStart w:id="19" w:name="_Hlk110694542"/>
      <w:r w:rsidRPr="002915CB">
        <w:rPr>
          <w:rFonts w:ascii="GHEA Grapalat" w:hAnsi="GHEA Grapalat" w:cs="GHEA Grapalat"/>
          <w:sz w:val="22"/>
          <w:szCs w:val="22"/>
          <w:lang w:val="hy-AM"/>
        </w:rPr>
        <w:t xml:space="preserve"> կետ</w:t>
      </w:r>
      <w:bookmarkEnd w:id="19"/>
      <w:r w:rsidRPr="002915CB">
        <w:rPr>
          <w:rFonts w:ascii="GHEA Grapalat" w:hAnsi="GHEA Grapalat" w:cs="GHEA Grapalat"/>
          <w:sz w:val="22"/>
          <w:szCs w:val="22"/>
          <w:lang w:val="hy-AM"/>
        </w:rPr>
        <w:t>) և պետական բյուջեի ու մարդասիրական օգնության (0.5</w:t>
      </w:r>
      <w:r w:rsidR="008F3497" w:rsidRPr="00FF3485">
        <w:rPr>
          <w:rFonts w:ascii="GHEA Grapalat" w:hAnsi="GHEA Grapalat" w:cs="GHEA Grapalat"/>
          <w:sz w:val="22"/>
          <w:szCs w:val="22"/>
          <w:lang w:val="hy-AM"/>
        </w:rPr>
        <w:t>-ական</w:t>
      </w:r>
      <w:r w:rsidRPr="002915CB">
        <w:rPr>
          <w:rFonts w:ascii="GHEA Grapalat" w:hAnsi="GHEA Grapalat" w:cs="GHEA Grapalat"/>
          <w:sz w:val="22"/>
          <w:szCs w:val="22"/>
          <w:lang w:val="hy-AM"/>
        </w:rPr>
        <w:t xml:space="preserve"> տոկոսային</w:t>
      </w:r>
      <w:r w:rsidRPr="002915CB" w:rsidDel="001370E6">
        <w:rPr>
          <w:rFonts w:ascii="GHEA Grapalat" w:hAnsi="GHEA Grapalat" w:cs="GHEA Grapalat"/>
          <w:sz w:val="22"/>
          <w:szCs w:val="22"/>
          <w:lang w:val="hy-AM"/>
        </w:rPr>
        <w:t xml:space="preserve"> </w:t>
      </w:r>
      <w:r w:rsidRPr="002915CB">
        <w:rPr>
          <w:rFonts w:ascii="GHEA Grapalat" w:hAnsi="GHEA Grapalat" w:cs="GHEA Grapalat"/>
          <w:sz w:val="22"/>
          <w:szCs w:val="22"/>
          <w:lang w:val="hy-AM"/>
        </w:rPr>
        <w:t>կետ) միջոցներով ֆինանսավորվող շինարարությունը։ Պետական բյուջեի միջոցներով ֆինանսավորվող շինարարությանը բացասական է նպաստել միջազգային վարկերով ֆինանսավորվող շինարարությունը։ Բնակչության միջոցներով իրականացված շինարարության ծավալների նվազումը 1․4 տոկոսային կետով հակազդել է ընդհանուր շինարարության աճին։</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Ըստ տնտեսական գործունեության տեսակների՝ շինարարության աճին </w:t>
      </w:r>
      <w:r w:rsidR="008F3497">
        <w:rPr>
          <w:rFonts w:ascii="GHEA Grapalat" w:hAnsi="GHEA Grapalat" w:cs="GHEA Grapalat"/>
          <w:sz w:val="22"/>
          <w:szCs w:val="22"/>
          <w:lang w:val="hy-AM"/>
        </w:rPr>
        <w:t xml:space="preserve">հիմնականում նպաստել </w:t>
      </w:r>
      <w:r w:rsidR="008F3497" w:rsidRPr="00FF3485">
        <w:rPr>
          <w:rFonts w:ascii="GHEA Grapalat" w:hAnsi="GHEA Grapalat" w:cs="GHEA Grapalat"/>
          <w:sz w:val="22"/>
          <w:szCs w:val="22"/>
          <w:lang w:val="hy-AM"/>
        </w:rPr>
        <w:t>է</w:t>
      </w:r>
      <w:r w:rsidRPr="002915CB">
        <w:rPr>
          <w:rFonts w:ascii="GHEA Grapalat" w:hAnsi="GHEA Grapalat" w:cs="GHEA Grapalat"/>
          <w:sz w:val="22"/>
          <w:szCs w:val="22"/>
          <w:lang w:val="hy-AM"/>
        </w:rPr>
        <w:t xml:space="preserve"> անշարժ գույքի հետ կապված գործունեության (հիմնականում՝ բնակարա</w:t>
      </w:r>
      <w:r w:rsidR="008F3497" w:rsidRPr="00FF3485">
        <w:rPr>
          <w:rFonts w:ascii="GHEA Grapalat" w:hAnsi="GHEA Grapalat" w:cs="GHEA Grapalat"/>
          <w:sz w:val="22"/>
          <w:szCs w:val="22"/>
          <w:lang w:val="hy-AM"/>
        </w:rPr>
        <w:t>նա</w:t>
      </w:r>
      <w:r w:rsidRPr="002915CB">
        <w:rPr>
          <w:rFonts w:ascii="GHEA Grapalat" w:hAnsi="GHEA Grapalat" w:cs="GHEA Grapalat"/>
          <w:sz w:val="22"/>
          <w:szCs w:val="22"/>
          <w:lang w:val="hy-AM"/>
        </w:rPr>
        <w:t>շինություն), տրանսպորտի (հիմնականում՝ ճանապարհաշինություն), ջրամատակարարում, կոյուղի, թափոնների կառավարում և վերամշակում, ինչպես նաև տեղեկատվություն և կապ ոլորտում իրականացված շինարարության ծավալների աճը։ Մինչդեռ էլեկտրականության, գազի, գոլորշու և լավորակ օդի մատակարարում, կացության և հանրային սննդի կազմակերպում, մշակույթ, զվարճություններ և հանգիստ ենթաճյուղերում իրակ</w:t>
      </w:r>
      <w:r w:rsidR="008F3497">
        <w:rPr>
          <w:rFonts w:ascii="GHEA Grapalat" w:hAnsi="GHEA Grapalat" w:cs="GHEA Grapalat"/>
          <w:sz w:val="22"/>
          <w:szCs w:val="22"/>
          <w:lang w:val="hy-AM"/>
        </w:rPr>
        <w:t>անացված շինարարության նվազում</w:t>
      </w:r>
      <w:r w:rsidRPr="002915CB">
        <w:rPr>
          <w:rFonts w:ascii="GHEA Grapalat" w:hAnsi="GHEA Grapalat" w:cs="GHEA Grapalat"/>
          <w:sz w:val="22"/>
          <w:szCs w:val="22"/>
          <w:lang w:val="hy-AM"/>
        </w:rPr>
        <w:t xml:space="preserve">ը հակազդել </w:t>
      </w:r>
      <w:r w:rsidR="008F3497" w:rsidRPr="00FF3485">
        <w:rPr>
          <w:rFonts w:ascii="GHEA Grapalat" w:hAnsi="GHEA Grapalat" w:cs="GHEA Grapalat"/>
          <w:sz w:val="22"/>
          <w:szCs w:val="22"/>
          <w:lang w:val="hy-AM"/>
        </w:rPr>
        <w:t>է</w:t>
      </w:r>
      <w:r w:rsidRPr="002915CB">
        <w:rPr>
          <w:rFonts w:ascii="GHEA Grapalat" w:hAnsi="GHEA Grapalat" w:cs="GHEA Grapalat"/>
          <w:sz w:val="22"/>
          <w:szCs w:val="22"/>
          <w:lang w:val="hy-AM"/>
        </w:rPr>
        <w:t xml:space="preserve"> ընդհանուր շինարարության աճին (նպաստումները` համապատասխանաբար 4.5, 3.5, 0</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5 տոկոսային կետեր)։ </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lastRenderedPageBreak/>
        <w:t>Ծառայություններ և առևտուր։</w:t>
      </w:r>
      <w:r w:rsidRPr="002915CB">
        <w:rPr>
          <w:rFonts w:ascii="GHEA Grapalat" w:hAnsi="GHEA Grapalat" w:cs="GHEA Grapalat"/>
          <w:sz w:val="22"/>
          <w:szCs w:val="22"/>
          <w:lang w:val="hy-AM"/>
        </w:rPr>
        <w:t xml:space="preserve"> Ծառայություններն աճել են 26.9%-ով՝ հիմնականում պայմանավորված ֆինանսական և ապահովագրական գործունեություն (նպաստումը` 10.5 տոկոսային կետ), տեղեկատվություն և կապ (նպաստումը` 4.8 տոկոսային կետ), տրանսպորտ (նպաստումը` 4.5 տոկոսային կետ), ինչպես նաև կացության և հանրային սննդի կազմակերպում (նպաստումը` 2.4 տոկոսային կետ) ենթաճյուղերի աճերով: Ֆինանսական և ապահովագրական գործունեություն ենթաճյուղի դրական զարգացումները զուգորդվել</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են բանկային համակարգում 2022</w:t>
      </w:r>
      <w:r w:rsidR="008F3497" w:rsidRPr="00FF3485">
        <w:rPr>
          <w:rFonts w:ascii="GHEA Grapalat" w:hAnsi="GHEA Grapalat" w:cs="GHEA Grapalat"/>
          <w:sz w:val="22"/>
          <w:szCs w:val="22"/>
          <w:lang w:val="hy-AM"/>
        </w:rPr>
        <w:t xml:space="preserve"> </w:t>
      </w:r>
      <w:r w:rsidRPr="002915CB">
        <w:rPr>
          <w:rFonts w:ascii="GHEA Grapalat" w:hAnsi="GHEA Grapalat" w:cs="GHEA Grapalat"/>
          <w:sz w:val="22"/>
          <w:szCs w:val="22"/>
          <w:lang w:val="hy-AM"/>
        </w:rPr>
        <w:t>թ</w:t>
      </w:r>
      <w:r w:rsidR="008F3497" w:rsidRPr="00FF3485">
        <w:rPr>
          <w:rFonts w:ascii="GHEA Grapalat" w:hAnsi="GHEA Grapalat" w:cs="GHEA Grapalat"/>
          <w:sz w:val="22"/>
          <w:szCs w:val="22"/>
          <w:lang w:val="hy-AM"/>
        </w:rPr>
        <w:t>վականի</w:t>
      </w:r>
      <w:r w:rsidRPr="002915CB">
        <w:rPr>
          <w:rFonts w:ascii="GHEA Grapalat" w:hAnsi="GHEA Grapalat" w:cs="GHEA Grapalat"/>
          <w:sz w:val="22"/>
          <w:szCs w:val="22"/>
          <w:lang w:val="hy-AM"/>
        </w:rPr>
        <w:t xml:space="preserve"> առաջին կիսամյակում (հիմնականում երկրորդ եռամսյակում) շահութաբերության աննախադեպ բարձր ցուցանիշներով, ինչին նպաստել են արտարժութային գործառնություններից լրացուցիչ եկամուտները (այդ թվում</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փոխարժեքի տատանումներից և միջնորդավճարներից գոյացած հասույթը), ոչ ռեզիդենտների կողմից նոր բանկային հաշիվների ստեղծումը:</w:t>
      </w:r>
    </w:p>
    <w:p w:rsidR="00747183" w:rsidRPr="00FF3485"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Տեղեկատվություն և կապ, տրանսպորտ ենթաճյուղերի դրական զարգացումները պայմանավորված են եղել ՌԴ-ից ՏՏ ոլորտի աշխատակիցների և ընկերությունների</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ՀՀ տեղափոխմամբ, ինչպես նաև դեպի Հայաստան միջազգային զբոսաշրջության բարձր աճի տեմպերով: Առևտրի 10.7% աճը հիմնականում պայմանավորված է եղել մեծածախ առևտրի և ավտոմեքենաների առևտրի աճերով (նպաստումները</w:t>
      </w:r>
      <w:r w:rsidR="008F3497" w:rsidRPr="00FF3485">
        <w:rPr>
          <w:rFonts w:ascii="GHEA Grapalat" w:hAnsi="GHEA Grapalat" w:cs="GHEA Grapalat"/>
          <w:sz w:val="22"/>
          <w:szCs w:val="22"/>
          <w:lang w:val="hy-AM"/>
        </w:rPr>
        <w:t>՝</w:t>
      </w:r>
      <w:r w:rsidR="008F3497">
        <w:rPr>
          <w:rFonts w:ascii="GHEA Grapalat" w:hAnsi="GHEA Grapalat" w:cs="GHEA Grapalat"/>
          <w:sz w:val="22"/>
          <w:szCs w:val="22"/>
          <w:lang w:val="hy-AM"/>
        </w:rPr>
        <w:t xml:space="preserve"> համապատասխանաբար</w:t>
      </w:r>
      <w:r w:rsidRPr="002915CB">
        <w:rPr>
          <w:rFonts w:ascii="GHEA Grapalat" w:hAnsi="GHEA Grapalat" w:cs="GHEA Grapalat"/>
          <w:sz w:val="22"/>
          <w:szCs w:val="22"/>
          <w:lang w:val="hy-AM"/>
        </w:rPr>
        <w:t xml:space="preserve"> 8.3 և 1.6 տոկոսային կետեր)։ Մեծածախ առևտրի բարձր աճը պայմանավորված է տնտեսության մյուս հատվածներում առկա բարձր պահանջարկով, ինչպես նաև ազգային արժույթի արժեզրկման սպասումների հետևանքով տնտես</w:t>
      </w:r>
      <w:r w:rsidR="008F3497" w:rsidRPr="00FF3485">
        <w:rPr>
          <w:rFonts w:ascii="GHEA Grapalat" w:hAnsi="GHEA Grapalat" w:cs="GHEA Grapalat"/>
          <w:sz w:val="22"/>
          <w:szCs w:val="22"/>
          <w:lang w:val="hy-AM"/>
        </w:rPr>
        <w:t>ա</w:t>
      </w:r>
      <w:r w:rsidRPr="002915CB">
        <w:rPr>
          <w:rFonts w:ascii="GHEA Grapalat" w:hAnsi="GHEA Grapalat" w:cs="GHEA Grapalat"/>
          <w:sz w:val="22"/>
          <w:szCs w:val="22"/>
          <w:lang w:val="hy-AM"/>
        </w:rPr>
        <w:t>վարողների կողմից ներմուծված ապրանքների պաշարների կուտակմամբ: Առևտրի և ծառայությունների աճն ուղեկցվել է ներքին (մասնավորապես</w:t>
      </w:r>
      <w:r w:rsidR="008F3497"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մասնավոր սպառման) և արտաքին (մասնավորապես՝ ծառայությունների արտահանման) պահանջարկի</w:t>
      </w:r>
      <w:r w:rsidR="0058703C">
        <w:rPr>
          <w:rFonts w:ascii="GHEA Grapalat" w:hAnsi="GHEA Grapalat" w:cs="GHEA Grapalat"/>
          <w:sz w:val="22"/>
          <w:szCs w:val="22"/>
          <w:lang w:val="hy-AM"/>
        </w:rPr>
        <w:t xml:space="preserve"> </w:t>
      </w:r>
      <w:r w:rsidR="008F3497">
        <w:rPr>
          <w:rFonts w:ascii="GHEA Grapalat" w:hAnsi="GHEA Grapalat" w:cs="GHEA Grapalat"/>
          <w:sz w:val="22"/>
          <w:szCs w:val="22"/>
          <w:lang w:val="hy-AM"/>
        </w:rPr>
        <w:t>աճերով:</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Հաշվետու ժամանակահատվածում բեռնափոխադրումների և ուղևորափոխադրումների ծավալներն աճել են: Բեռնափոխադրումների ծավալի 11.2% աճը հիմնականում պայմանավորված է եղել ներհանրապետական ավտոմոբիլային բեռնափոխադրումների աճով (նպաստումը՝ 9․0 տոկոսային կետ): Ուղևորափոխադրումների ծավալն աճել է 40.4%-ով՝ հիմնականում պայմանավորված ավտոմոբիլային տրանսպորտային միջոցներով (նպաստումը՝ 34.0 տոկոսային կետ) իրականացված ուղևորափոխադրումների աճով:</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Զբոսաշրջիկների այցելությունների բարձր աճն (2022</w:t>
      </w:r>
      <w:r w:rsidR="0080684B" w:rsidRPr="00FF3485">
        <w:rPr>
          <w:rFonts w:ascii="GHEA Grapalat" w:hAnsi="GHEA Grapalat" w:cs="GHEA Grapalat"/>
          <w:sz w:val="22"/>
          <w:szCs w:val="22"/>
          <w:lang w:val="hy-AM"/>
        </w:rPr>
        <w:t xml:space="preserve"> </w:t>
      </w:r>
      <w:r w:rsidRPr="002915CB">
        <w:rPr>
          <w:rFonts w:ascii="GHEA Grapalat" w:hAnsi="GHEA Grapalat" w:cs="GHEA Grapalat"/>
          <w:sz w:val="22"/>
          <w:szCs w:val="22"/>
          <w:lang w:val="hy-AM"/>
        </w:rPr>
        <w:t>թ</w:t>
      </w:r>
      <w:r w:rsidR="0080684B" w:rsidRPr="00FF3485">
        <w:rPr>
          <w:rFonts w:ascii="GHEA Grapalat" w:hAnsi="GHEA Grapalat" w:cs="GHEA Grapalat"/>
          <w:sz w:val="22"/>
          <w:szCs w:val="22"/>
          <w:lang w:val="hy-AM"/>
        </w:rPr>
        <w:t>վականի</w:t>
      </w:r>
      <w:r w:rsidRPr="002915CB">
        <w:rPr>
          <w:rFonts w:ascii="GHEA Grapalat" w:hAnsi="GHEA Grapalat" w:cs="GHEA Grapalat"/>
          <w:sz w:val="22"/>
          <w:szCs w:val="22"/>
          <w:lang w:val="hy-AM"/>
        </w:rPr>
        <w:t xml:space="preserve"> առաջին կիսամյակում նախորդ տարվա նույն ժամանակահատվածի նկատմամբ 2.4 անգամ) իր հերթին դրական ազդեցություն է ունեցել ծառայությունների որոշ տեսակների, առևտրի, ինչպես նաև ուղևորափոխադրումների վրա:</w:t>
      </w: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190"/>
        <w:gridCol w:w="5000"/>
      </w:tblGrid>
      <w:tr w:rsidR="00747183" w:rsidRPr="002915CB" w:rsidTr="00825352">
        <w:trPr>
          <w:trHeight w:val="3846"/>
        </w:trPr>
        <w:tc>
          <w:tcPr>
            <w:tcW w:w="5237" w:type="dxa"/>
          </w:tcPr>
          <w:p w:rsidR="00747183" w:rsidRPr="002915CB" w:rsidRDefault="00747183" w:rsidP="00825352">
            <w:pPr>
              <w:tabs>
                <w:tab w:val="right" w:pos="0"/>
              </w:tabs>
              <w:spacing w:before="120" w:after="60"/>
              <w:contextualSpacing/>
              <w:rPr>
                <w:rFonts w:ascii="GHEA Grapalat" w:hAnsi="GHEA Grapalat" w:cs="Sylfaen"/>
                <w:sz w:val="16"/>
                <w:szCs w:val="16"/>
                <w:lang w:val="hy-AM"/>
              </w:rPr>
            </w:pPr>
            <w:r w:rsidRPr="002915CB">
              <w:rPr>
                <w:rFonts w:ascii="GHEA Grapalat" w:hAnsi="GHEA Grapalat" w:cs="Sylfaen"/>
                <w:b/>
                <w:bCs/>
                <w:sz w:val="16"/>
                <w:szCs w:val="16"/>
                <w:lang w:val="hy-AM"/>
              </w:rPr>
              <w:lastRenderedPageBreak/>
              <w:t>Գծապատկեր 1.</w:t>
            </w:r>
            <w:r w:rsidRPr="002915CB">
              <w:rPr>
                <w:rFonts w:ascii="GHEA Grapalat" w:hAnsi="GHEA Grapalat" w:cs="Sylfaen"/>
                <w:sz w:val="16"/>
                <w:szCs w:val="16"/>
                <w:lang w:val="hy-AM"/>
              </w:rPr>
              <w:t xml:space="preserve"> ՏԱՑ և տնտեսության ճյուղերի իրական աճերը նախորդ տարվա նույն ժամանակահատվածի նկատմամբ (%) </w:t>
            </w:r>
          </w:p>
          <w:p w:rsidR="00747183" w:rsidRPr="002915CB" w:rsidRDefault="00747183" w:rsidP="00825352">
            <w:pPr>
              <w:tabs>
                <w:tab w:val="right" w:pos="0"/>
              </w:tabs>
              <w:spacing w:before="120" w:after="60"/>
              <w:contextualSpacing/>
              <w:rPr>
                <w:rFonts w:ascii="GHEA Grapalat" w:hAnsi="GHEA Grapalat"/>
                <w:sz w:val="16"/>
                <w:szCs w:val="16"/>
                <w:lang w:val="hy-AM"/>
              </w:rPr>
            </w:pPr>
            <w:r w:rsidRPr="002915CB">
              <w:rPr>
                <w:rFonts w:ascii="GHEA Grapalat" w:hAnsi="GHEA Grapalat"/>
                <w:noProof/>
              </w:rPr>
              <w:drawing>
                <wp:inline distT="0" distB="0" distL="0" distR="0" wp14:anchorId="5824F931" wp14:editId="1D78A9A4">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47183" w:rsidRPr="002915CB" w:rsidRDefault="00747183" w:rsidP="00825352">
            <w:pPr>
              <w:tabs>
                <w:tab w:val="right" w:pos="0"/>
              </w:tabs>
              <w:spacing w:before="120" w:after="60" w:line="360" w:lineRule="auto"/>
              <w:contextualSpacing/>
              <w:jc w:val="both"/>
              <w:rPr>
                <w:rFonts w:ascii="GHEA Grapalat" w:hAnsi="GHEA Grapalat" w:cs="Sylfaen"/>
                <w:i/>
                <w:sz w:val="16"/>
                <w:szCs w:val="16"/>
              </w:rPr>
            </w:pPr>
            <w:r w:rsidRPr="002915CB">
              <w:rPr>
                <w:rFonts w:ascii="GHEA Grapalat" w:hAnsi="GHEA Grapalat"/>
                <w:i/>
                <w:sz w:val="16"/>
                <w:szCs w:val="16"/>
              </w:rPr>
              <w:t>Աղբյուրը՝ ՀՀ ՎԿ</w:t>
            </w:r>
          </w:p>
        </w:tc>
        <w:tc>
          <w:tcPr>
            <w:tcW w:w="5008" w:type="dxa"/>
          </w:tcPr>
          <w:p w:rsidR="00747183" w:rsidRPr="002915CB" w:rsidRDefault="00747183" w:rsidP="00825352">
            <w:pPr>
              <w:tabs>
                <w:tab w:val="right" w:pos="0"/>
              </w:tabs>
              <w:spacing w:before="120" w:after="0" w:line="240" w:lineRule="auto"/>
              <w:contextualSpacing/>
              <w:rPr>
                <w:rFonts w:ascii="GHEA Grapalat" w:hAnsi="GHEA Grapalat" w:cs="Sylfaen"/>
                <w:sz w:val="16"/>
                <w:szCs w:val="16"/>
              </w:rPr>
            </w:pPr>
            <w:r w:rsidRPr="002915CB">
              <w:rPr>
                <w:rFonts w:ascii="GHEA Grapalat" w:hAnsi="GHEA Grapalat"/>
                <w:noProof/>
                <w:sz w:val="16"/>
                <w:szCs w:val="16"/>
              </w:rPr>
              <w:drawing>
                <wp:anchor distT="0" distB="0" distL="114300" distR="114300" simplePos="0" relativeHeight="251659264" behindDoc="1" locked="0" layoutInCell="1" allowOverlap="1" wp14:anchorId="3910AE14" wp14:editId="4FF30344">
                  <wp:simplePos x="0" y="0"/>
                  <wp:positionH relativeFrom="column">
                    <wp:posOffset>4445</wp:posOffset>
                  </wp:positionH>
                  <wp:positionV relativeFrom="paragraph">
                    <wp:posOffset>472440</wp:posOffset>
                  </wp:positionV>
                  <wp:extent cx="3020695" cy="1854200"/>
                  <wp:effectExtent l="0" t="0" r="8255" b="0"/>
                  <wp:wrapTight wrapText="bothSides">
                    <wp:wrapPolygon edited="0">
                      <wp:start x="0" y="0"/>
                      <wp:lineTo x="0" y="21526"/>
                      <wp:lineTo x="21659" y="21526"/>
                      <wp:lineTo x="21659"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Pr="002915CB">
              <w:rPr>
                <w:rFonts w:ascii="GHEA Grapalat" w:hAnsi="GHEA Grapalat" w:cs="Sylfaen"/>
                <w:b/>
                <w:sz w:val="16"/>
                <w:szCs w:val="16"/>
              </w:rPr>
              <w:t>Գծապատկեր 2.</w:t>
            </w:r>
            <w:r w:rsidRPr="002915CB">
              <w:rPr>
                <w:rFonts w:ascii="GHEA Grapalat" w:hAnsi="GHEA Grapalat" w:cs="Sylfaen"/>
                <w:sz w:val="16"/>
                <w:szCs w:val="16"/>
              </w:rPr>
              <w:t xml:space="preserve"> ՏԱՑ և տնտեսության ճյուղերի իրական աճերը նախորդ տարվա նույն ամսվա նկատմամբ (%)</w:t>
            </w:r>
          </w:p>
          <w:p w:rsidR="00747183" w:rsidRPr="002915CB" w:rsidRDefault="00747183" w:rsidP="00825352">
            <w:pPr>
              <w:spacing w:after="60" w:line="240" w:lineRule="auto"/>
              <w:jc w:val="both"/>
              <w:rPr>
                <w:rFonts w:ascii="GHEA Grapalat" w:hAnsi="GHEA Grapalat"/>
                <w:i/>
                <w:sz w:val="16"/>
                <w:szCs w:val="16"/>
              </w:rPr>
            </w:pPr>
            <w:r w:rsidRPr="002915CB">
              <w:rPr>
                <w:rFonts w:ascii="GHEA Grapalat" w:hAnsi="GHEA Grapalat"/>
                <w:i/>
                <w:sz w:val="16"/>
                <w:szCs w:val="16"/>
              </w:rPr>
              <w:t>Աղբյուրը՝ ՀՀ ՎԿ</w:t>
            </w:r>
            <w:r w:rsidRPr="002915CB" w:rsidDel="00DA0563">
              <w:rPr>
                <w:rFonts w:ascii="GHEA Grapalat" w:hAnsi="GHEA Grapalat"/>
                <w:i/>
                <w:sz w:val="16"/>
                <w:szCs w:val="16"/>
              </w:rPr>
              <w:t xml:space="preserve"> </w:t>
            </w:r>
          </w:p>
        </w:tc>
      </w:tr>
      <w:tr w:rsidR="00747183" w:rsidRPr="003019E2" w:rsidTr="00825352">
        <w:trPr>
          <w:trHeight w:val="3671"/>
        </w:trPr>
        <w:tc>
          <w:tcPr>
            <w:tcW w:w="5237" w:type="dxa"/>
          </w:tcPr>
          <w:p w:rsidR="00747183" w:rsidRPr="002915CB" w:rsidRDefault="00747183" w:rsidP="00825352">
            <w:pPr>
              <w:tabs>
                <w:tab w:val="right" w:pos="0"/>
              </w:tabs>
              <w:spacing w:before="120" w:after="60"/>
              <w:contextualSpacing/>
              <w:rPr>
                <w:rFonts w:ascii="GHEA Grapalat" w:hAnsi="GHEA Grapalat" w:cs="Sylfaen"/>
                <w:b/>
                <w:bCs/>
                <w:i/>
                <w:sz w:val="6"/>
                <w:szCs w:val="6"/>
                <w:lang w:val="hy-AM"/>
              </w:rPr>
            </w:pPr>
          </w:p>
          <w:p w:rsidR="00747183" w:rsidRPr="002915CB" w:rsidRDefault="00747183" w:rsidP="00825352">
            <w:pPr>
              <w:tabs>
                <w:tab w:val="right" w:pos="0"/>
              </w:tabs>
              <w:spacing w:before="120" w:after="60"/>
              <w:contextualSpacing/>
              <w:rPr>
                <w:rFonts w:ascii="GHEA Grapalat" w:hAnsi="GHEA Grapalat" w:cs="Sylfaen"/>
                <w:sz w:val="16"/>
                <w:szCs w:val="16"/>
                <w:lang w:val="hy-AM"/>
              </w:rPr>
            </w:pPr>
            <w:r w:rsidRPr="002915CB">
              <w:rPr>
                <w:rFonts w:ascii="GHEA Grapalat" w:hAnsi="GHEA Grapalat" w:cs="Sylfaen"/>
                <w:b/>
                <w:bCs/>
                <w:sz w:val="16"/>
                <w:szCs w:val="16"/>
                <w:lang w:val="hy-AM"/>
              </w:rPr>
              <w:t>Գծապատկեր 3.</w:t>
            </w:r>
            <w:r w:rsidRPr="002915CB">
              <w:rPr>
                <w:rFonts w:ascii="GHEA Grapalat" w:hAnsi="GHEA Grapalat" w:cs="Sylfaen"/>
                <w:sz w:val="16"/>
                <w:szCs w:val="16"/>
                <w:lang w:val="hy-AM"/>
              </w:rPr>
              <w:t xml:space="preserve"> Տնտեսության ճյուղերի նպաստումները ՏԱՑ-ին (տ.կ.)</w:t>
            </w:r>
            <w:r w:rsidRPr="002915CB">
              <w:rPr>
                <w:rStyle w:val="FootnoteReference"/>
                <w:rFonts w:ascii="GHEA Grapalat" w:hAnsi="GHEA Grapalat" w:cs="Sylfaen"/>
                <w:sz w:val="16"/>
                <w:szCs w:val="16"/>
              </w:rPr>
              <w:footnoteReference w:id="8"/>
            </w:r>
            <w:r w:rsidRPr="002915CB">
              <w:rPr>
                <w:rFonts w:ascii="GHEA Grapalat" w:hAnsi="GHEA Grapalat" w:cs="Sylfaen"/>
                <w:sz w:val="16"/>
                <w:szCs w:val="16"/>
                <w:lang w:val="hy-AM"/>
              </w:rPr>
              <w:t xml:space="preserve"> </w:t>
            </w:r>
          </w:p>
          <w:p w:rsidR="00747183" w:rsidRPr="002915CB" w:rsidRDefault="00747183" w:rsidP="00825352">
            <w:pPr>
              <w:tabs>
                <w:tab w:val="right" w:pos="0"/>
              </w:tabs>
              <w:spacing w:before="120" w:after="60"/>
              <w:contextualSpacing/>
              <w:rPr>
                <w:rFonts w:ascii="GHEA Grapalat" w:hAnsi="GHEA Grapalat" w:cs="Sylfaen"/>
                <w:i/>
                <w:sz w:val="16"/>
                <w:szCs w:val="16"/>
                <w:lang w:val="hy-AM"/>
              </w:rPr>
            </w:pPr>
            <w:r w:rsidRPr="002915CB">
              <w:rPr>
                <w:rFonts w:ascii="GHEA Grapalat" w:hAnsi="GHEA Grapalat"/>
                <w:i/>
                <w:noProof/>
                <w:sz w:val="16"/>
                <w:szCs w:val="16"/>
              </w:rPr>
              <w:drawing>
                <wp:inline distT="0" distB="0" distL="0" distR="0" wp14:anchorId="38D124EA" wp14:editId="4A81FD59">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47183" w:rsidRPr="002915CB" w:rsidRDefault="00747183" w:rsidP="00825352">
            <w:pPr>
              <w:tabs>
                <w:tab w:val="right" w:pos="0"/>
              </w:tabs>
              <w:spacing w:before="120" w:after="60" w:line="360" w:lineRule="auto"/>
              <w:contextualSpacing/>
              <w:jc w:val="both"/>
              <w:rPr>
                <w:rFonts w:ascii="GHEA Grapalat" w:hAnsi="GHEA Grapalat" w:cs="Sylfaen"/>
                <w:lang w:val="hy-AM"/>
              </w:rPr>
            </w:pPr>
            <w:r w:rsidRPr="002915CB">
              <w:rPr>
                <w:rFonts w:ascii="GHEA Grapalat" w:hAnsi="GHEA Grapalat"/>
                <w:i/>
                <w:sz w:val="16"/>
                <w:szCs w:val="16"/>
                <w:lang w:val="hy-AM"/>
              </w:rPr>
              <w:t>Աղբյուրը՝ ՀՀ ՎԿ, ՀՀ ՖՆ հաշվարկներ</w:t>
            </w:r>
            <w:r w:rsidRPr="002915CB">
              <w:rPr>
                <w:rFonts w:ascii="GHEA Grapalat" w:hAnsi="GHEA Grapalat"/>
                <w:lang w:val="hy-AM"/>
              </w:rPr>
              <w:t xml:space="preserve"> </w:t>
            </w:r>
          </w:p>
        </w:tc>
        <w:tc>
          <w:tcPr>
            <w:tcW w:w="5008" w:type="dxa"/>
          </w:tcPr>
          <w:p w:rsidR="00747183" w:rsidRPr="002915CB" w:rsidRDefault="00747183" w:rsidP="00825352">
            <w:pPr>
              <w:tabs>
                <w:tab w:val="right" w:pos="0"/>
              </w:tabs>
              <w:spacing w:before="120" w:after="60" w:line="312" w:lineRule="auto"/>
              <w:contextualSpacing/>
              <w:jc w:val="both"/>
              <w:rPr>
                <w:rFonts w:ascii="GHEA Grapalat" w:hAnsi="GHEA Grapalat" w:cs="Sylfaen"/>
                <w:b/>
                <w:i/>
                <w:sz w:val="4"/>
                <w:szCs w:val="4"/>
                <w:lang w:val="hy-AM"/>
              </w:rPr>
            </w:pPr>
          </w:p>
          <w:p w:rsidR="00747183" w:rsidRPr="002915CB" w:rsidRDefault="00747183" w:rsidP="00825352">
            <w:pPr>
              <w:tabs>
                <w:tab w:val="right" w:pos="0"/>
              </w:tabs>
              <w:spacing w:before="120" w:after="60"/>
              <w:contextualSpacing/>
              <w:rPr>
                <w:rFonts w:ascii="GHEA Grapalat" w:hAnsi="GHEA Grapalat" w:cs="Sylfaen"/>
                <w:sz w:val="16"/>
                <w:szCs w:val="16"/>
                <w:lang w:val="hy-AM"/>
              </w:rPr>
            </w:pPr>
            <w:r w:rsidRPr="002915CB">
              <w:rPr>
                <w:rFonts w:ascii="GHEA Grapalat" w:hAnsi="GHEA Grapalat" w:cs="Sylfaen"/>
                <w:b/>
                <w:sz w:val="16"/>
                <w:szCs w:val="16"/>
                <w:lang w:val="hy-AM"/>
              </w:rPr>
              <w:t>Գծապատկեր 4.</w:t>
            </w:r>
            <w:r w:rsidRPr="002915CB">
              <w:rPr>
                <w:rFonts w:ascii="GHEA Grapalat" w:hAnsi="GHEA Grapalat" w:cs="Sylfaen"/>
                <w:sz w:val="16"/>
                <w:szCs w:val="16"/>
                <w:lang w:val="hy-AM"/>
              </w:rPr>
              <w:t xml:space="preserve"> Տնտեսության ճյուղերի նպաստումները ՏԱՑ-ին նախորդ տարվա նույն ամսվա նկատմամբ</w:t>
            </w:r>
            <w:r w:rsidRPr="002915CB">
              <w:rPr>
                <w:rFonts w:ascii="GHEA Grapalat" w:hAnsi="GHEA Grapalat" w:cs="Sylfaen"/>
                <w:sz w:val="18"/>
                <w:szCs w:val="18"/>
                <w:lang w:val="hy-AM"/>
              </w:rPr>
              <w:t xml:space="preserve"> </w:t>
            </w:r>
            <w:r w:rsidRPr="002915CB">
              <w:rPr>
                <w:rFonts w:ascii="GHEA Grapalat" w:hAnsi="GHEA Grapalat" w:cs="Sylfaen"/>
                <w:sz w:val="16"/>
                <w:szCs w:val="18"/>
                <w:lang w:val="hy-AM"/>
              </w:rPr>
              <w:t>(տ.կ.)</w:t>
            </w:r>
            <w:r w:rsidRPr="002915CB">
              <w:rPr>
                <w:rStyle w:val="FootnoteReference"/>
                <w:rFonts w:ascii="GHEA Grapalat" w:hAnsi="GHEA Grapalat" w:cs="Sylfaen"/>
                <w:sz w:val="16"/>
                <w:szCs w:val="16"/>
                <w:lang w:val="hy-AM"/>
              </w:rPr>
              <w:t xml:space="preserve"> </w:t>
            </w:r>
          </w:p>
          <w:p w:rsidR="00747183" w:rsidRPr="002915CB" w:rsidRDefault="00747183" w:rsidP="00825352">
            <w:pPr>
              <w:tabs>
                <w:tab w:val="right" w:pos="0"/>
              </w:tabs>
              <w:spacing w:before="120" w:after="60"/>
              <w:contextualSpacing/>
              <w:rPr>
                <w:rFonts w:ascii="GHEA Grapalat" w:hAnsi="GHEA Grapalat"/>
                <w:lang w:val="hy-AM"/>
              </w:rPr>
            </w:pPr>
            <w:r w:rsidRPr="002915CB">
              <w:rPr>
                <w:rFonts w:ascii="GHEA Grapalat" w:hAnsi="GHEA Grapalat"/>
                <w:noProof/>
              </w:rPr>
              <w:drawing>
                <wp:inline distT="0" distB="0" distL="0" distR="0" wp14:anchorId="77E11F16" wp14:editId="12729471">
                  <wp:extent cx="2963766" cy="1900362"/>
                  <wp:effectExtent l="0" t="0" r="8255" b="508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7183" w:rsidRPr="002915CB" w:rsidRDefault="00747183" w:rsidP="00825352">
            <w:pPr>
              <w:spacing w:before="40" w:after="60" w:line="312" w:lineRule="auto"/>
              <w:jc w:val="both"/>
              <w:rPr>
                <w:rFonts w:ascii="GHEA Grapalat" w:hAnsi="GHEA Grapalat"/>
                <w:i/>
                <w:sz w:val="16"/>
                <w:szCs w:val="16"/>
                <w:lang w:val="hy-AM"/>
              </w:rPr>
            </w:pPr>
            <w:r w:rsidRPr="002915CB">
              <w:rPr>
                <w:rFonts w:ascii="GHEA Grapalat" w:hAnsi="GHEA Grapalat"/>
                <w:i/>
                <w:sz w:val="16"/>
                <w:szCs w:val="16"/>
                <w:lang w:val="hy-AM"/>
              </w:rPr>
              <w:t>Աղբյուրը՝ ՀՀ ՎԿ, ՀՀ ՖՆ հաշվարկներ</w:t>
            </w:r>
          </w:p>
        </w:tc>
      </w:tr>
    </w:tbl>
    <w:p w:rsidR="00747183" w:rsidRPr="00FF3485" w:rsidRDefault="00747183" w:rsidP="00747183">
      <w:pPr>
        <w:spacing w:line="360" w:lineRule="auto"/>
        <w:ind w:firstLine="567"/>
        <w:jc w:val="both"/>
        <w:rPr>
          <w:rFonts w:ascii="GHEA Grapalat" w:eastAsia="GHEA Grapalat" w:hAnsi="GHEA Grapalat" w:cs="GHEA Grapalat"/>
          <w:b/>
          <w:i/>
          <w:sz w:val="22"/>
          <w:szCs w:val="22"/>
          <w:lang w:val="hy-AM"/>
        </w:rPr>
      </w:pP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Համախառն պահանջարկ</w:t>
      </w:r>
      <w:r w:rsidRPr="002915CB">
        <w:rPr>
          <w:rFonts w:ascii="GHEA Grapalat" w:hAnsi="GHEA Grapalat"/>
          <w:b/>
          <w:i/>
          <w:sz w:val="22"/>
          <w:szCs w:val="22"/>
          <w:vertAlign w:val="superscript"/>
          <w:lang w:val="hy-AM"/>
        </w:rPr>
        <w:footnoteReference w:id="9"/>
      </w:r>
      <w:r w:rsidRPr="002915CB">
        <w:rPr>
          <w:rFonts w:ascii="GHEA Grapalat" w:hAnsi="GHEA Grapalat" w:cs="GHEA Grapalat"/>
          <w:b/>
          <w:i/>
          <w:sz w:val="22"/>
          <w:szCs w:val="22"/>
          <w:lang w:val="hy-AM"/>
        </w:rPr>
        <w:t>:</w:t>
      </w:r>
      <w:r w:rsidRPr="002915CB">
        <w:rPr>
          <w:rFonts w:ascii="GHEA Grapalat" w:hAnsi="GHEA Grapalat"/>
          <w:sz w:val="22"/>
          <w:szCs w:val="22"/>
          <w:lang w:val="hy-AM"/>
        </w:rPr>
        <w:t xml:space="preserve"> </w:t>
      </w:r>
      <w:r w:rsidRPr="002915CB">
        <w:rPr>
          <w:rFonts w:ascii="GHEA Grapalat" w:hAnsi="GHEA Grapalat" w:cs="GHEA Grapalat"/>
          <w:sz w:val="22"/>
          <w:szCs w:val="22"/>
          <w:lang w:val="hy-AM"/>
        </w:rPr>
        <w:t>Հունվար-հունիսին տնտեսական ակտիվության աճն ուղեկցվել է ներքին պահանջարկի աճով:</w:t>
      </w:r>
    </w:p>
    <w:p w:rsidR="00747183" w:rsidRPr="002915CB" w:rsidRDefault="00747183" w:rsidP="0074718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Սպառում։</w:t>
      </w:r>
      <w:r w:rsidRPr="002915CB">
        <w:rPr>
          <w:rFonts w:ascii="GHEA Grapalat" w:hAnsi="GHEA Grapalat" w:cs="GHEA Grapalat"/>
          <w:sz w:val="22"/>
          <w:szCs w:val="22"/>
          <w:lang w:val="hy-AM"/>
        </w:rPr>
        <w:t xml:space="preserve"> Հունվար-հունիսին սպառումն իրական արտահայտությամբ աճել է շուրջ 10.1%-ով՝ պայմանավորված մասնավոր հատվածի սպառման աճով, որին նպաստել են բնակչության տնօրինվող եկամտի աճը (այդ թվում՝ դրամական փոխանցումների բարձր աճը)</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և համավարակի պայմաններում կուտակված խնայողությունների օգտագործումը: Մասնավոր սպառման աճին դրական նպաստում է ունեցել նաև դեպի Հայաստան զբոսաշրջության բարձ աճը: Պետական սպառման նվազումը բացասաբար է ազդել ընդհանուր սպառման աճի</w:t>
      </w:r>
      <w:r w:rsidR="0080684B" w:rsidRPr="00FF3485">
        <w:rPr>
          <w:rFonts w:ascii="GHEA Grapalat" w:hAnsi="GHEA Grapalat" w:cs="GHEA Grapalat"/>
          <w:sz w:val="22"/>
          <w:szCs w:val="22"/>
          <w:lang w:val="hy-AM"/>
        </w:rPr>
        <w:t xml:space="preserve"> վրա</w:t>
      </w:r>
      <w:r w:rsidRPr="002915CB">
        <w:rPr>
          <w:rFonts w:ascii="GHEA Grapalat" w:hAnsi="GHEA Grapalat" w:cs="GHEA Grapalat"/>
          <w:sz w:val="22"/>
          <w:szCs w:val="22"/>
          <w:lang w:val="hy-AM"/>
        </w:rPr>
        <w:t>։</w:t>
      </w:r>
    </w:p>
    <w:p w:rsidR="00747183" w:rsidRPr="002915CB" w:rsidRDefault="00747183"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lastRenderedPageBreak/>
        <w:t xml:space="preserve">Ներդրումներ։ </w:t>
      </w:r>
      <w:r w:rsidRPr="002915CB">
        <w:rPr>
          <w:rFonts w:ascii="GHEA Grapalat" w:hAnsi="GHEA Grapalat" w:cs="GHEA Grapalat"/>
          <w:sz w:val="22"/>
          <w:szCs w:val="22"/>
          <w:lang w:val="hy-AM"/>
        </w:rPr>
        <w:t>Հունվար-հունիսին գնահատվում է կապիտալ ներդրումների</w:t>
      </w:r>
      <w:r w:rsidRPr="0080684B">
        <w:rPr>
          <w:rFonts w:ascii="GHEA Grapalat" w:hAnsi="GHEA Grapalat" w:cs="GHEA Grapalat"/>
          <w:sz w:val="22"/>
          <w:szCs w:val="22"/>
          <w:vertAlign w:val="superscript"/>
          <w:lang w:val="hy-AM"/>
        </w:rPr>
        <w:footnoteReference w:id="10"/>
      </w:r>
      <w:r w:rsidR="0080684B"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նախորդ տարվա նույն ժամանակահատվածի նկատմամբ իրական արտահայտությամբ շուրջ 16.1% աճ՝ պայմանավորված և՛ մասնավոր, և՛ պետական ներդրումների աճով: Մասնավոր ներդրու</w:t>
      </w:r>
      <w:r w:rsidR="0080684B">
        <w:rPr>
          <w:rFonts w:ascii="GHEA Grapalat" w:hAnsi="GHEA Grapalat" w:cs="GHEA Grapalat"/>
          <w:sz w:val="22"/>
          <w:szCs w:val="22"/>
          <w:lang w:val="hy-AM"/>
        </w:rPr>
        <w:t xml:space="preserve">մների վրա դրական ազդեցություն </w:t>
      </w:r>
      <w:r w:rsidR="0080684B" w:rsidRPr="00FF3485">
        <w:rPr>
          <w:rFonts w:ascii="GHEA Grapalat" w:hAnsi="GHEA Grapalat" w:cs="GHEA Grapalat"/>
          <w:sz w:val="22"/>
          <w:szCs w:val="22"/>
          <w:lang w:val="hy-AM"/>
        </w:rPr>
        <w:t>է</w:t>
      </w:r>
      <w:r w:rsidRPr="002915CB">
        <w:rPr>
          <w:rFonts w:ascii="GHEA Grapalat" w:hAnsi="GHEA Grapalat" w:cs="GHEA Grapalat"/>
          <w:sz w:val="22"/>
          <w:szCs w:val="22"/>
          <w:lang w:val="hy-AM"/>
        </w:rPr>
        <w:t xml:space="preserve"> ունեցել </w:t>
      </w:r>
      <w:r w:rsidR="008F3497">
        <w:rPr>
          <w:rFonts w:ascii="GHEA Grapalat" w:hAnsi="GHEA Grapalat" w:cs="GHEA Grapalat"/>
          <w:sz w:val="22"/>
          <w:szCs w:val="22"/>
          <w:lang w:val="hy-AM"/>
        </w:rPr>
        <w:t>հիպոտեկ</w:t>
      </w:r>
      <w:r w:rsidRPr="002915CB">
        <w:rPr>
          <w:rFonts w:ascii="GHEA Grapalat" w:hAnsi="GHEA Grapalat" w:cs="GHEA Grapalat"/>
          <w:sz w:val="22"/>
          <w:szCs w:val="22"/>
          <w:lang w:val="hy-AM"/>
        </w:rPr>
        <w:t>ային և շինարարության վարկերի ծավալների աճը:</w:t>
      </w:r>
      <w:r w:rsidR="0058703C">
        <w:rPr>
          <w:rFonts w:ascii="GHEA Grapalat" w:hAnsi="GHEA Grapalat" w:cs="GHEA Grapalat"/>
          <w:sz w:val="22"/>
          <w:szCs w:val="22"/>
          <w:lang w:val="hy-AM"/>
        </w:rPr>
        <w:t xml:space="preserve"> </w:t>
      </w:r>
    </w:p>
    <w:p w:rsidR="00747183" w:rsidRPr="002915CB" w:rsidRDefault="00747183"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Ներդրումների աճը հիմնականում պայմանավորված է եղել անշարժ գույքի հետ կապված գործունեության, տրանսպորտի, ջրամատակարարում, կոյուղի, թափոնների կառավարում և վերամշակում ինչպես նաև տեղեկատվություն և կապ ոլորտներում կատարված</w:t>
      </w:r>
      <w:r w:rsidR="0080684B">
        <w:rPr>
          <w:rFonts w:ascii="GHEA Grapalat" w:hAnsi="GHEA Grapalat" w:cs="GHEA Grapalat"/>
          <w:sz w:val="22"/>
          <w:szCs w:val="22"/>
          <w:lang w:val="hy-AM"/>
        </w:rPr>
        <w:t xml:space="preserve"> ներդրումների աճ</w:t>
      </w:r>
      <w:r w:rsidRPr="002915CB">
        <w:rPr>
          <w:rFonts w:ascii="GHEA Grapalat" w:hAnsi="GHEA Grapalat" w:cs="GHEA Grapalat"/>
          <w:sz w:val="22"/>
          <w:szCs w:val="22"/>
          <w:lang w:val="hy-AM"/>
        </w:rPr>
        <w:t>ով</w:t>
      </w:r>
      <w:r w:rsidRPr="0080684B">
        <w:rPr>
          <w:rFonts w:ascii="GHEA Grapalat" w:hAnsi="GHEA Grapalat" w:cs="GHEA Grapalat"/>
          <w:sz w:val="22"/>
          <w:szCs w:val="22"/>
          <w:vertAlign w:val="superscript"/>
          <w:lang w:val="hy-AM"/>
        </w:rPr>
        <w:footnoteReference w:id="11"/>
      </w:r>
      <w:r w:rsidRPr="002915CB">
        <w:rPr>
          <w:rFonts w:ascii="GHEA Grapalat" w:hAnsi="GHEA Grapalat" w:cs="GHEA Grapalat"/>
          <w:sz w:val="22"/>
          <w:szCs w:val="22"/>
          <w:lang w:val="hy-AM"/>
        </w:rPr>
        <w:t>:</w:t>
      </w:r>
    </w:p>
    <w:p w:rsidR="00747183" w:rsidRPr="002915CB" w:rsidRDefault="00747183"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Զուտ արտահանում։</w:t>
      </w:r>
      <w:r w:rsidRPr="002915CB">
        <w:rPr>
          <w:rFonts w:ascii="GHEA Grapalat" w:hAnsi="GHEA Grapalat" w:cs="GHEA Grapalat"/>
          <w:sz w:val="22"/>
          <w:szCs w:val="22"/>
          <w:lang w:val="hy-AM"/>
        </w:rPr>
        <w:t xml:space="preserve"> Ապրանքների և ծառայությունների արտահանման իրական ծավալների աճը գնահատվում է մոտ 30%`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26.1%-ով` պայմանավորված տնտեսական ակտիվության և ներքին պահանջարկի աճով: Ներմուծման աճին դրական նպաստում </w:t>
      </w:r>
      <w:r w:rsidR="0080684B" w:rsidRPr="00FF3485">
        <w:rPr>
          <w:rFonts w:ascii="GHEA Grapalat" w:hAnsi="GHEA Grapalat" w:cs="GHEA Grapalat"/>
          <w:sz w:val="22"/>
          <w:szCs w:val="22"/>
          <w:lang w:val="hy-AM"/>
        </w:rPr>
        <w:t>են</w:t>
      </w:r>
      <w:r w:rsidRPr="002915CB">
        <w:rPr>
          <w:rFonts w:ascii="GHEA Grapalat" w:hAnsi="GHEA Grapalat" w:cs="GHEA Grapalat"/>
          <w:sz w:val="22"/>
          <w:szCs w:val="22"/>
          <w:lang w:val="hy-AM"/>
        </w:rPr>
        <w:t xml:space="preserve"> ունեցել նաև արժևորված ազգային արժույթը և տնտեսվարողների կողմից ազգային արժույթի արժեզրկման սպասումներով պայմանավորված ներմուծման ծավալների աճը:</w:t>
      </w:r>
    </w:p>
    <w:p w:rsidR="00563135" w:rsidRPr="002915CB" w:rsidRDefault="00563135" w:rsidP="00773FC6">
      <w:pPr>
        <w:spacing w:line="360" w:lineRule="auto"/>
        <w:ind w:firstLine="567"/>
        <w:jc w:val="both"/>
        <w:rPr>
          <w:rFonts w:ascii="GHEA Grapalat" w:hAnsi="GHEA Grapalat" w:cs="GHEA Grapalat"/>
          <w:sz w:val="22"/>
          <w:szCs w:val="22"/>
          <w:lang w:val="hy-AM"/>
        </w:rPr>
      </w:pPr>
    </w:p>
    <w:p w:rsidR="00563135" w:rsidRPr="00FF3485" w:rsidRDefault="00563135" w:rsidP="00563135">
      <w:pPr>
        <w:pStyle w:val="Heading6"/>
        <w:ind w:left="567"/>
        <w:rPr>
          <w:rFonts w:ascii="GHEA Grapalat" w:hAnsi="GHEA Grapalat"/>
          <w:b/>
          <w:sz w:val="22"/>
          <w:szCs w:val="22"/>
          <w:u w:val="none"/>
        </w:rPr>
      </w:pPr>
      <w:bookmarkStart w:id="20" w:name="_Toc71311883"/>
      <w:r w:rsidRPr="002915CB">
        <w:rPr>
          <w:rFonts w:ascii="GHEA Grapalat" w:hAnsi="GHEA Grapalat"/>
          <w:b/>
          <w:sz w:val="22"/>
          <w:szCs w:val="22"/>
          <w:u w:val="none"/>
        </w:rPr>
        <w:t>Աշխատանքի շուկա</w:t>
      </w:r>
      <w:bookmarkEnd w:id="20"/>
    </w:p>
    <w:p w:rsidR="00825352" w:rsidRPr="002915CB" w:rsidRDefault="00825352"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Տնտեսական բարձր ակտիվության պայմաններում առաջին կիսամյակում գործազրկությունը նվազել է, իսկ աշխատավարձերը՝ աճել։ 2022 թվականի հունվար-հունիսին պաշտոնապես գրանցված գործազուրկների միջին ամսական թիվը նախորդ տարվա նույն ժամանակահատվածի նկատմամբ նվազել է 10%-ով՝ կազմելով 56,067 մարդ: Միևնույն ժամանակ վարձու աշխատողների թիվն աճել է շուրջ 6%-ով՝ կազմելով 671,905</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մարդ։ Վարձու աշխատողներ</w:t>
      </w:r>
      <w:r w:rsidR="0080684B">
        <w:rPr>
          <w:rFonts w:ascii="GHEA Grapalat" w:hAnsi="GHEA Grapalat" w:cs="GHEA Grapalat"/>
          <w:sz w:val="22"/>
          <w:szCs w:val="22"/>
          <w:lang w:val="hy-AM"/>
        </w:rPr>
        <w:t xml:space="preserve">ի թվի աճին հիմնականում նպաստել </w:t>
      </w:r>
      <w:r w:rsidR="0080684B" w:rsidRPr="00FF3485">
        <w:rPr>
          <w:rFonts w:ascii="GHEA Grapalat" w:hAnsi="GHEA Grapalat" w:cs="GHEA Grapalat"/>
          <w:sz w:val="22"/>
          <w:szCs w:val="22"/>
          <w:lang w:val="hy-AM"/>
        </w:rPr>
        <w:t>է</w:t>
      </w:r>
      <w:r w:rsidRPr="002915CB">
        <w:rPr>
          <w:rFonts w:ascii="GHEA Grapalat" w:hAnsi="GHEA Grapalat" w:cs="GHEA Grapalat"/>
          <w:sz w:val="22"/>
          <w:szCs w:val="22"/>
          <w:lang w:val="hy-AM"/>
        </w:rPr>
        <w:t xml:space="preserve"> կացություն և հանրային սննդի կազմակերպում, մեծածախ և մանրածախ առևտուր, ինչպես նաև տեղեկատվություն և կապ, շինարարություն և տուրիզմին սպասարկող այլ ոլորտներում աշխատողների թվի աճը։ Սա իր հերթին հիմնականում պայմանավորված է ՀՀ ժամանած զբոսաշրջիկների և աշխատանքային միգրանտների թվի ավելացմամբ։</w:t>
      </w:r>
    </w:p>
    <w:p w:rsidR="00825352" w:rsidRPr="002915CB" w:rsidRDefault="00825352"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w:t>
      </w:r>
      <w:r w:rsidR="001607A1" w:rsidRPr="00FF3485">
        <w:rPr>
          <w:rFonts w:ascii="GHEA Grapalat" w:hAnsi="GHEA Grapalat" w:cs="GHEA Grapalat"/>
          <w:sz w:val="22"/>
          <w:szCs w:val="22"/>
          <w:lang w:val="hy-AM"/>
        </w:rPr>
        <w:t xml:space="preserve"> </w:t>
      </w:r>
      <w:r w:rsidRPr="002915CB">
        <w:rPr>
          <w:rFonts w:ascii="GHEA Grapalat" w:hAnsi="GHEA Grapalat" w:cs="GHEA Grapalat"/>
          <w:sz w:val="22"/>
          <w:szCs w:val="22"/>
          <w:lang w:val="hy-AM"/>
        </w:rPr>
        <w:t>թ</w:t>
      </w:r>
      <w:r w:rsidR="001607A1" w:rsidRPr="00FF3485">
        <w:rPr>
          <w:rFonts w:ascii="GHEA Grapalat" w:hAnsi="GHEA Grapalat" w:cs="GHEA Grapalat"/>
          <w:sz w:val="22"/>
          <w:szCs w:val="22"/>
          <w:lang w:val="hy-AM"/>
        </w:rPr>
        <w:t>վականի</w:t>
      </w:r>
      <w:r w:rsidRPr="002915CB">
        <w:rPr>
          <w:rFonts w:ascii="GHEA Grapalat" w:hAnsi="GHEA Grapalat" w:cs="GHEA Grapalat"/>
          <w:sz w:val="22"/>
          <w:szCs w:val="22"/>
          <w:lang w:val="hy-AM"/>
        </w:rPr>
        <w:t xml:space="preserve"> առաջին եռամսյակում գործազրկության մակարդակը նախորդ տարվա նույն եռամսյակի նկատմամբ նվազել է 1.9 տոկոսային կետով՝ կազմելով 14.8%, գործազուրկների թիվը </w:t>
      </w:r>
      <w:r w:rsidRPr="002915CB">
        <w:rPr>
          <w:rFonts w:ascii="GHEA Grapalat" w:hAnsi="GHEA Grapalat" w:cs="GHEA Grapalat"/>
          <w:sz w:val="22"/>
          <w:szCs w:val="22"/>
          <w:lang w:val="hy-AM"/>
        </w:rPr>
        <w:lastRenderedPageBreak/>
        <w:t>նվազել է 10.2%-ով, զբաղվածների թիվն</w:t>
      </w:r>
      <w:r w:rsidR="0080684B"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աճել 3.3%-ով։ Միաժամանակ, աշխատուժի առաջարկն աճել է 1%-ով։</w:t>
      </w:r>
    </w:p>
    <w:p w:rsidR="00825352" w:rsidRPr="002915CB" w:rsidRDefault="00825352"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միջին ամսական անվանական աշխատավարձը նախորդ տարվա նույն ժամանակահատվածում գրանցված ցուցանիշի նկատմամբ աճել է 11.3%-ով` կազմելով 218,641 դրամ: Աշխատավարձի աճին հիմնականում նպաստել են տեղեկատվություն և կապ, ֆինանսական և ապահովագրական գործունեություն, ինչպես նաև մեծածախ և մանրածախ առևտուր ոլորտների աշխատավարձերի աճը։ Միջին ամսական անվանական աշխատավարձը պետական հատվածում աճել է 4.5%-ով` կազմելով 175,920 դրամ, իսկ ոչ պետականում` 13.2%-ով և կազմել է 237,705 դրամ: Իրական աշխատավարձը</w:t>
      </w:r>
      <w:r w:rsidR="0080684B">
        <w:rPr>
          <w:rFonts w:ascii="GHEA Grapalat" w:hAnsi="GHEA Grapalat" w:cs="GHEA Grapalat"/>
          <w:sz w:val="22"/>
          <w:szCs w:val="22"/>
          <w:lang w:val="hy-AM"/>
        </w:rPr>
        <w:t xml:space="preserve"> 8.1% գնաճի պայմաններում</w:t>
      </w:r>
      <w:r w:rsidRPr="002915CB">
        <w:rPr>
          <w:rFonts w:ascii="GHEA Grapalat" w:hAnsi="GHEA Grapalat" w:cs="GHEA Grapalat"/>
          <w:sz w:val="22"/>
          <w:szCs w:val="22"/>
          <w:lang w:val="hy-AM"/>
        </w:rPr>
        <w:t xml:space="preserve"> 2022 թվականի նույն ժամանակահատվածի համեմատ աճել է շուրջ 3%-ով:</w:t>
      </w:r>
    </w:p>
    <w:p w:rsidR="00825352" w:rsidRPr="002915CB" w:rsidRDefault="00825352" w:rsidP="00825352">
      <w:pPr>
        <w:spacing w:line="360" w:lineRule="auto"/>
        <w:ind w:firstLine="567"/>
        <w:jc w:val="both"/>
        <w:rPr>
          <w:rFonts w:ascii="GHEA Grapalat" w:hAnsi="GHEA Grapalat" w:cs="GHEA Grapalat"/>
          <w:sz w:val="22"/>
          <w:szCs w:val="22"/>
          <w:lang w:val="hy-AM"/>
        </w:rPr>
      </w:pPr>
    </w:p>
    <w:p w:rsidR="00563135" w:rsidRPr="002915CB" w:rsidRDefault="00563135" w:rsidP="00563135">
      <w:pPr>
        <w:pStyle w:val="Heading6"/>
        <w:ind w:left="567"/>
        <w:rPr>
          <w:rFonts w:ascii="GHEA Grapalat" w:hAnsi="GHEA Grapalat"/>
          <w:b/>
          <w:sz w:val="22"/>
          <w:szCs w:val="22"/>
          <w:u w:val="none"/>
        </w:rPr>
      </w:pPr>
      <w:bookmarkStart w:id="21" w:name="_Toc6389321"/>
      <w:bookmarkStart w:id="22" w:name="_Toc37763588"/>
      <w:bookmarkStart w:id="23" w:name="_Toc71311884"/>
      <w:r w:rsidRPr="002915CB">
        <w:rPr>
          <w:rFonts w:ascii="GHEA Grapalat" w:hAnsi="GHEA Grapalat"/>
          <w:b/>
          <w:sz w:val="22"/>
          <w:szCs w:val="22"/>
          <w:u w:val="none"/>
        </w:rPr>
        <w:t>Գնաճ</w:t>
      </w:r>
      <w:bookmarkEnd w:id="21"/>
      <w:bookmarkEnd w:id="22"/>
      <w:r w:rsidRPr="002915CB">
        <w:rPr>
          <w:rFonts w:ascii="GHEA Grapalat" w:hAnsi="GHEA Grapalat"/>
          <w:b/>
          <w:sz w:val="22"/>
          <w:szCs w:val="22"/>
          <w:u w:val="none"/>
        </w:rPr>
        <w:t xml:space="preserve"> և դրամավարկային քաղաքականություն</w:t>
      </w:r>
      <w:bookmarkEnd w:id="23"/>
    </w:p>
    <w:p w:rsidR="00825352" w:rsidRPr="002915CB" w:rsidRDefault="00825352" w:rsidP="0082535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գնաճի տեմպերն արագացել են, որի պայմաններում ՀՀ ԿԲ-ն շարունակել է խստացնել դրամավարկային պայմանները՝ բարձրացնելով վերաֆինանսավորման տոկոսադրույքը: Եռամսյակի առաջին երկու ամիսների ընթացքում դիտվել է 12 ամսյա գնաճի տեմպերի դանդաղման գործընթաց, մինչդեռ մարտ ամսից սկսած, պայմանավորված նախ ռուս-ուկրաինական հակամարտության սրման արդյունքում միջազգային ապրանքահումքային շուկաներում դիտված գների կտրուկ աճով և ՀՀ դրամի փո</w:t>
      </w:r>
      <w:r w:rsidR="0080684B" w:rsidRPr="00FF3485">
        <w:rPr>
          <w:rFonts w:ascii="GHEA Grapalat" w:hAnsi="GHEA Grapalat" w:cs="GHEA Grapalat"/>
          <w:sz w:val="22"/>
          <w:szCs w:val="22"/>
          <w:lang w:val="hy-AM"/>
        </w:rPr>
        <w:t>խ</w:t>
      </w:r>
      <w:r w:rsidRPr="002915CB">
        <w:rPr>
          <w:rFonts w:ascii="GHEA Grapalat" w:hAnsi="GHEA Grapalat" w:cs="GHEA Grapalat"/>
          <w:sz w:val="22"/>
          <w:szCs w:val="22"/>
          <w:lang w:val="hy-AM"/>
        </w:rPr>
        <w:t>արժեքի կարճատև արժեզրկմամբ, ապա՝ համախառն պահանջարկի զգալի աճով (այդ թվում՝ օտարերկյա այցելուների կտրուկ աճով պայմանավորված) 12 ամսյա գնաճը սկսել է արագանալ և հունիսին կազմել է 10.3%, իսկ միջին գնաճն առաջին կիսամյակում՝ 8.1%: Գնաճի տեմպերի լրացուցիչ արագացումը որոշակիորեն զսպվել է ՀՀ դրամի փոխարժեքի արժևորմամբ, որի ազդեցությունն աստիճանաբար արտացոլվել է ներմուծվող ապրանքների գներում։</w:t>
      </w:r>
    </w:p>
    <w:p w:rsidR="00825352" w:rsidRPr="002915CB" w:rsidRDefault="00825352" w:rsidP="00785E13">
      <w:pPr>
        <w:pStyle w:val="a"/>
      </w:pPr>
      <w:r w:rsidRPr="002915CB">
        <w:lastRenderedPageBreak/>
        <w:t>2022 թվականի առաջին կիսամյակի գնաճի նպաստումները խոշոր ապրանքախմբերով, տոկոսային կետ</w:t>
      </w:r>
      <w:r w:rsidRPr="002915CB">
        <w:rPr>
          <w:vertAlign w:val="superscript"/>
        </w:rPr>
        <w:footnoteReference w:id="12"/>
      </w:r>
    </w:p>
    <w:p w:rsidR="00825352" w:rsidRPr="002915CB" w:rsidRDefault="00825352" w:rsidP="00825352">
      <w:pPr>
        <w:pStyle w:val="BodyText"/>
        <w:rPr>
          <w:rFonts w:ascii="GHEA Grapalat" w:hAnsi="GHEA Grapalat" w:cs="Sylfaen"/>
          <w:b w:val="0"/>
          <w:sz w:val="22"/>
          <w:szCs w:val="22"/>
        </w:rPr>
      </w:pPr>
      <w:r w:rsidRPr="002915CB">
        <w:rPr>
          <w:rFonts w:ascii="GHEA Grapalat" w:hAnsi="GHEA Grapalat" w:cs="Sylfaen"/>
          <w:b w:val="0"/>
          <w:noProof/>
          <w:szCs w:val="22"/>
        </w:rPr>
        <w:drawing>
          <wp:inline distT="0" distB="0" distL="0" distR="0" wp14:anchorId="50B579DB" wp14:editId="5D10B959">
            <wp:extent cx="3171825" cy="22764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915CB">
        <w:rPr>
          <w:rFonts w:ascii="GHEA Grapalat" w:hAnsi="GHEA Grapalat" w:cs="Sylfaen"/>
          <w:b w:val="0"/>
          <w:noProof/>
          <w:szCs w:val="22"/>
        </w:rPr>
        <w:drawing>
          <wp:inline distT="0" distB="0" distL="0" distR="0" wp14:anchorId="65A36FA9" wp14:editId="49FF888D">
            <wp:extent cx="3171825" cy="22764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915CB">
        <w:rPr>
          <w:rFonts w:ascii="GHEA Grapalat" w:hAnsi="GHEA Grapalat" w:cs="Sylfaen"/>
          <w:b w:val="0"/>
          <w:noProof/>
          <w:szCs w:val="22"/>
        </w:rPr>
        <w:drawing>
          <wp:inline distT="0" distB="0" distL="0" distR="0" wp14:anchorId="6B26611C" wp14:editId="3A6871D9">
            <wp:extent cx="6362700" cy="5810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5ED2" w:rsidRPr="002915CB" w:rsidRDefault="00EE5ED2" w:rsidP="00825352">
      <w:pPr>
        <w:spacing w:line="360" w:lineRule="auto"/>
        <w:ind w:firstLine="567"/>
        <w:jc w:val="both"/>
        <w:rPr>
          <w:rFonts w:ascii="GHEA Grapalat" w:hAnsi="GHEA Grapalat" w:cs="GHEA Grapalat"/>
          <w:sz w:val="22"/>
          <w:szCs w:val="22"/>
        </w:rPr>
      </w:pPr>
    </w:p>
    <w:p w:rsidR="00825352" w:rsidRPr="002915CB" w:rsidRDefault="00825352" w:rsidP="00825352">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Միջին գնաճին առավելապես նպաստել է «Սննդամթերք և ոչ ալկոհոլային խմիչքներ» ապրանքախմբում արձանագրված 13.7% գների աճը (նպաստումը գնաճին` 5.1 տոկոսային կետ)՝ հիմնականում պայմանավորված առաջին անհրաժեշտության պարենային ապրանքների (բանջարեղեն, հացաբուլկեղեն և ձավարեղեն, մ</w:t>
      </w:r>
      <w:r w:rsidR="002A697C">
        <w:rPr>
          <w:rFonts w:ascii="GHEA Grapalat" w:hAnsi="GHEA Grapalat" w:cs="GHEA Grapalat"/>
          <w:sz w:val="22"/>
          <w:szCs w:val="22"/>
        </w:rPr>
        <w:t>իս, կաթնամթերք և այլն) գների աճ</w:t>
      </w:r>
      <w:r w:rsidRPr="002915CB">
        <w:rPr>
          <w:rFonts w:ascii="GHEA Grapalat" w:hAnsi="GHEA Grapalat" w:cs="GHEA Grapalat"/>
          <w:sz w:val="22"/>
          <w:szCs w:val="22"/>
        </w:rPr>
        <w:t xml:space="preserve">ով: «Ալկոհոլային խմիչքներ, ծխախոտային արտադրատեսակներ» խմբում արձանագրվել է 7.8% գնաճ (նպաստումը գնաճին` 0.3 տոկոսային կետ), իսկ «Ոչ պարենային ապրանքների» խմբում արձանագրվել է 6.1% գնաճ (նպաստումը գնաճին` 1.4 տոկոսային կետ), ինչը հիմնականում պայմանավորված է էլեկտրաէներգիայի և վառելիքի գների աճով։ Բնակչությանը մատուցված ծառայությունների գծով արձանագրվել է 3.5% գնաճ (դրական նպաստումը գնաճին` 1.3 տոկոսային կետ), ինչը հիմնականում պայմանավորված է եղել բնակարանների վարձավճարների, էլեկտրաէներգիայի, տրանսպորտային, ինչպես նաև միջազգային զբոսաշրջության ծառայությունների սակագների աճով։ </w:t>
      </w:r>
    </w:p>
    <w:p w:rsidR="00825352" w:rsidRPr="002915CB" w:rsidRDefault="00825352" w:rsidP="00EE5ED2">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t xml:space="preserve">2022 թվականի հունվար-հունիս </w:t>
      </w:r>
      <w:r w:rsidRPr="002915CB">
        <w:rPr>
          <w:rFonts w:ascii="GHEA Grapalat" w:hAnsi="GHEA Grapalat" w:cs="GHEA Grapalat"/>
          <w:sz w:val="22"/>
          <w:szCs w:val="22"/>
          <w:lang w:val="hy-AM"/>
        </w:rPr>
        <w:t>ամիսներին</w:t>
      </w:r>
      <w:r w:rsidRPr="002915CB">
        <w:rPr>
          <w:rFonts w:ascii="GHEA Grapalat" w:hAnsi="GHEA Grapalat" w:cs="GHEA Grapalat"/>
          <w:sz w:val="22"/>
          <w:szCs w:val="22"/>
        </w:rPr>
        <w:t>, հաշվի առնելով միջազգային պարենային շուկաներում գնաճային զարգացումները, գնաճային սպասումների որոշակի արագացումը և տնտեսությունում պահանջարկի (սպառման և ծառայությունների արտահանման) բարձր աճը, ՀՀ ԿԲ-ն բարձրացրել է վերաֆինանսավորման տոկոսադրույք</w:t>
      </w:r>
      <w:r w:rsidR="002A697C">
        <w:rPr>
          <w:rFonts w:ascii="GHEA Grapalat" w:hAnsi="GHEA Grapalat" w:cs="GHEA Grapalat"/>
          <w:sz w:val="22"/>
          <w:szCs w:val="22"/>
        </w:rPr>
        <w:t>ն</w:t>
      </w:r>
      <w:r w:rsidRPr="002915CB">
        <w:rPr>
          <w:rFonts w:ascii="GHEA Grapalat" w:hAnsi="GHEA Grapalat" w:cs="GHEA Grapalat"/>
          <w:sz w:val="22"/>
          <w:szCs w:val="22"/>
        </w:rPr>
        <w:t xml:space="preserve"> ընդհանուր առմամբ 1.5 տոկոսային կետով՝ սահմանելով այն 9.25%: Այնուամենայնիվ, ֆինանսական շուկաներում վարկերի և ավանդների տոկոսադրույքներ</w:t>
      </w:r>
      <w:r w:rsidR="002A697C">
        <w:rPr>
          <w:rFonts w:ascii="GHEA Grapalat" w:hAnsi="GHEA Grapalat" w:cs="GHEA Grapalat"/>
          <w:sz w:val="22"/>
          <w:szCs w:val="22"/>
        </w:rPr>
        <w:t>ն</w:t>
      </w:r>
      <w:r w:rsidRPr="002915CB">
        <w:rPr>
          <w:rFonts w:ascii="GHEA Grapalat" w:hAnsi="GHEA Grapalat" w:cs="GHEA Grapalat"/>
          <w:sz w:val="22"/>
          <w:szCs w:val="22"/>
        </w:rPr>
        <w:t xml:space="preserve"> անհամաչափորեն են ճշգրտվել միջբանկային ռեպո և կարճաժամկետ պետական </w:t>
      </w:r>
      <w:r w:rsidRPr="002915CB">
        <w:rPr>
          <w:rFonts w:ascii="GHEA Grapalat" w:hAnsi="GHEA Grapalat" w:cs="GHEA Grapalat"/>
          <w:sz w:val="22"/>
          <w:szCs w:val="22"/>
        </w:rPr>
        <w:lastRenderedPageBreak/>
        <w:t>պարտատոմսերի շուկաների համեմատ, որոնք զգայուն են եղել դրամավարկային քաղաքականության տոկոսադ</w:t>
      </w:r>
      <w:r w:rsidR="002A697C">
        <w:rPr>
          <w:rFonts w:ascii="GHEA Grapalat" w:hAnsi="GHEA Grapalat" w:cs="GHEA Grapalat"/>
          <w:sz w:val="22"/>
          <w:szCs w:val="22"/>
        </w:rPr>
        <w:t>րույքների նկատմամբ (Գծապատկեր 6</w:t>
      </w:r>
      <w:r w:rsidRPr="002915CB">
        <w:rPr>
          <w:rFonts w:ascii="GHEA Grapalat" w:hAnsi="GHEA Grapalat" w:cs="GHEA Grapalat"/>
          <w:sz w:val="22"/>
          <w:szCs w:val="22"/>
        </w:rPr>
        <w:t xml:space="preserve">)։ </w:t>
      </w:r>
    </w:p>
    <w:p w:rsidR="00EE5ED2" w:rsidRPr="002915CB" w:rsidRDefault="00EE5ED2" w:rsidP="00EE5ED2">
      <w:pPr>
        <w:spacing w:line="360" w:lineRule="auto"/>
        <w:ind w:firstLine="567"/>
        <w:jc w:val="both"/>
        <w:rPr>
          <w:rFonts w:ascii="GHEA Grapalat" w:hAnsi="GHEA Grapalat" w:cs="GHEA Grapalat"/>
          <w:sz w:val="22"/>
          <w:szCs w:val="22"/>
        </w:rPr>
      </w:pPr>
    </w:p>
    <w:p w:rsidR="00825352" w:rsidRPr="002915CB" w:rsidRDefault="00825352" w:rsidP="00785E13">
      <w:pPr>
        <w:pStyle w:val="a"/>
      </w:pPr>
      <w:r w:rsidRPr="002915CB">
        <w:t>ՀՀ դրամով տոկոսադրույքների միտումները ՀՀ ֆինանսական շուկաներում,%</w:t>
      </w:r>
      <w:r w:rsidRPr="002915CB">
        <w:rPr>
          <w:vertAlign w:val="superscript"/>
        </w:rPr>
        <w:footnoteReference w:id="13"/>
      </w:r>
    </w:p>
    <w:p w:rsidR="00825352" w:rsidRPr="002915CB" w:rsidRDefault="00825352" w:rsidP="00825352">
      <w:pPr>
        <w:spacing w:line="360" w:lineRule="auto"/>
        <w:jc w:val="both"/>
        <w:rPr>
          <w:rFonts w:ascii="GHEA Grapalat" w:hAnsi="GHEA Grapalat" w:cs="GHEA Grapalat"/>
          <w:sz w:val="22"/>
          <w:szCs w:val="22"/>
        </w:rPr>
      </w:pPr>
      <w:r w:rsidRPr="002915CB">
        <w:rPr>
          <w:rFonts w:ascii="GHEA Grapalat" w:hAnsi="GHEA Grapalat" w:cs="GHEA Grapalat"/>
          <w:noProof/>
          <w:sz w:val="22"/>
          <w:szCs w:val="22"/>
        </w:rPr>
        <w:drawing>
          <wp:inline distT="0" distB="0" distL="0" distR="0" wp14:anchorId="53E46347" wp14:editId="7BC185A3">
            <wp:extent cx="6648450" cy="26860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25A7" w:rsidRPr="002915CB" w:rsidRDefault="00AE25A7" w:rsidP="00825352">
      <w:pPr>
        <w:spacing w:after="240" w:line="360" w:lineRule="auto"/>
        <w:ind w:firstLine="567"/>
        <w:jc w:val="both"/>
        <w:rPr>
          <w:rFonts w:ascii="GHEA Grapalat" w:hAnsi="GHEA Grapalat" w:cs="GHEA Grapalat"/>
          <w:sz w:val="22"/>
          <w:szCs w:val="22"/>
        </w:rPr>
      </w:pPr>
    </w:p>
    <w:p w:rsidR="00563135" w:rsidRPr="002915CB" w:rsidRDefault="00563135" w:rsidP="00563135">
      <w:pPr>
        <w:pStyle w:val="Heading6"/>
        <w:ind w:left="567"/>
        <w:rPr>
          <w:rFonts w:ascii="GHEA Grapalat" w:hAnsi="GHEA Grapalat"/>
          <w:b/>
          <w:sz w:val="22"/>
          <w:szCs w:val="22"/>
          <w:u w:val="none"/>
          <w:lang w:val="en-US"/>
        </w:rPr>
      </w:pPr>
      <w:bookmarkStart w:id="24" w:name="_Toc71311885"/>
      <w:r w:rsidRPr="002915CB">
        <w:rPr>
          <w:rFonts w:ascii="GHEA Grapalat" w:hAnsi="GHEA Grapalat"/>
          <w:b/>
          <w:sz w:val="22"/>
          <w:szCs w:val="22"/>
          <w:u w:val="none"/>
        </w:rPr>
        <w:t>Արտաքին առևտուր</w:t>
      </w:r>
      <w:bookmarkEnd w:id="24"/>
      <w:r w:rsidR="00180A83" w:rsidRPr="002915CB">
        <w:rPr>
          <w:rFonts w:ascii="GHEA Grapalat" w:hAnsi="GHEA Grapalat"/>
          <w:b/>
          <w:sz w:val="22"/>
          <w:szCs w:val="22"/>
          <w:u w:val="none"/>
          <w:lang w:val="en-US"/>
        </w:rPr>
        <w:t xml:space="preserve"> և դրամական փոխանցումներ</w:t>
      </w:r>
    </w:p>
    <w:p w:rsidR="00825352" w:rsidRPr="002915CB" w:rsidRDefault="00825352" w:rsidP="00EE5ED2">
      <w:pPr>
        <w:spacing w:line="360" w:lineRule="auto"/>
        <w:ind w:firstLine="567"/>
        <w:jc w:val="both"/>
        <w:rPr>
          <w:rFonts w:ascii="GHEA Grapalat" w:hAnsi="GHEA Grapalat" w:cs="GHEA Grapalat"/>
          <w:sz w:val="22"/>
          <w:szCs w:val="22"/>
        </w:rPr>
      </w:pPr>
      <w:r w:rsidRPr="002915CB">
        <w:rPr>
          <w:rFonts w:ascii="GHEA Grapalat" w:hAnsi="GHEA Grapalat" w:cs="GHEA Grapalat"/>
          <w:b/>
          <w:i/>
          <w:sz w:val="22"/>
          <w:szCs w:val="22"/>
        </w:rPr>
        <w:t>Արտաքին առևտուր (դոլարային արտահայտությամբ)</w:t>
      </w:r>
      <w:r w:rsidRPr="002915CB">
        <w:rPr>
          <w:rFonts w:ascii="GHEA Grapalat" w:hAnsi="GHEA Grapalat" w:cs="GHEA Grapalat"/>
          <w:b/>
          <w:i/>
          <w:sz w:val="22"/>
          <w:szCs w:val="22"/>
          <w:vertAlign w:val="superscript"/>
        </w:rPr>
        <w:footnoteReference w:id="14"/>
      </w:r>
      <w:r w:rsidRPr="002915CB">
        <w:rPr>
          <w:rFonts w:ascii="GHEA Grapalat" w:hAnsi="GHEA Grapalat" w:cs="GHEA Grapalat"/>
          <w:b/>
          <w:i/>
          <w:sz w:val="22"/>
          <w:szCs w:val="22"/>
        </w:rPr>
        <w:t>:</w:t>
      </w:r>
      <w:r w:rsidRPr="002915CB">
        <w:rPr>
          <w:rFonts w:ascii="GHEA Grapalat" w:hAnsi="GHEA Grapalat" w:cs="GHEA Grapalat"/>
          <w:sz w:val="22"/>
          <w:szCs w:val="22"/>
        </w:rPr>
        <w:t xml:space="preserve"> 2022 թվականի առաջին կիսամյակում ներքին պահանջարկի վերականգնման, ներմուծման գների աճի և արտաքին որոշ շուկաներում պահանջարկի աճի հետևանքով արտահանման ընդլայնման պայմաններում գրանցվել է արտաքին ապրանքաշրջանառության երկնիշ աճ։ Արտաքին ապրանքաշրջանառությունը 2022 թվականի առաջին կիսամյակում կազմել է </w:t>
      </w:r>
      <w:r w:rsidRPr="002915CB">
        <w:rPr>
          <w:rFonts w:ascii="GHEA Grapalat" w:hAnsi="GHEA Grapalat" w:cs="GHEA Grapalat"/>
          <w:sz w:val="22"/>
          <w:szCs w:val="22"/>
          <w:lang w:val="hy-AM"/>
        </w:rPr>
        <w:t>5152</w:t>
      </w:r>
      <w:r w:rsidRPr="002915CB">
        <w:rPr>
          <w:rFonts w:ascii="GHEA Grapalat" w:hAnsi="GHEA Grapalat" w:cs="GHEA Grapalat"/>
          <w:sz w:val="22"/>
          <w:szCs w:val="22"/>
        </w:rPr>
        <w:t>.5 մլն ԱՄՆ դոլար` նախորդ տարվա համեմատ աճելով 44%-ով: Ընդ որում</w:t>
      </w:r>
      <w:r w:rsidR="002A697C">
        <w:rPr>
          <w:rFonts w:ascii="GHEA Grapalat" w:hAnsi="GHEA Grapalat" w:cs="GHEA Grapalat"/>
          <w:sz w:val="22"/>
          <w:szCs w:val="22"/>
        </w:rPr>
        <w:t>,</w:t>
      </w:r>
      <w:r w:rsidRPr="002915CB">
        <w:rPr>
          <w:rFonts w:ascii="GHEA Grapalat" w:hAnsi="GHEA Grapalat" w:cs="GHEA Grapalat"/>
          <w:sz w:val="22"/>
          <w:szCs w:val="22"/>
        </w:rPr>
        <w:t xml:space="preserve"> արտահանումն աճել է 36.3%</w:t>
      </w:r>
      <w:r w:rsidRPr="002915CB">
        <w:rPr>
          <w:rFonts w:ascii="GHEA Grapalat" w:hAnsi="GHEA Grapalat" w:cs="GHEA Grapalat"/>
          <w:sz w:val="22"/>
          <w:szCs w:val="22"/>
        </w:rPr>
        <w:noBreakHyphen/>
        <w:t>ով` կազմելով 1881.5 մլն ԱՄՆ դոլար, իսկ ներմուծումը` 48.7%-ով և կազմել 3271 մլն ԱՄՆ դոլար: Տարեսկզբից արձանագրված</w:t>
      </w:r>
      <w:r w:rsidR="002A697C">
        <w:rPr>
          <w:rFonts w:ascii="GHEA Grapalat" w:hAnsi="GHEA Grapalat" w:cs="GHEA Grapalat"/>
          <w:sz w:val="22"/>
          <w:szCs w:val="22"/>
        </w:rPr>
        <w:t xml:space="preserve"> արտաքին առևտրի աճի բարձր տեմպ</w:t>
      </w:r>
      <w:r w:rsidRPr="002915CB">
        <w:rPr>
          <w:rFonts w:ascii="GHEA Grapalat" w:hAnsi="GHEA Grapalat" w:cs="GHEA Grapalat"/>
          <w:sz w:val="22"/>
          <w:szCs w:val="22"/>
        </w:rPr>
        <w:t>ը՝ ՌԴ-ի և Ուկրաինայի միջև հակամարտության և ՌԴ-ի նկատմամբ կիրառվող աննախադեպ պատժամիջոցների բացասական ազդեցություններով պայմանավորված</w:t>
      </w:r>
      <w:r w:rsidR="002A697C">
        <w:rPr>
          <w:rFonts w:ascii="GHEA Grapalat" w:hAnsi="GHEA Grapalat" w:cs="GHEA Grapalat"/>
          <w:sz w:val="22"/>
          <w:szCs w:val="22"/>
        </w:rPr>
        <w:t>՝</w:t>
      </w:r>
      <w:r w:rsidRPr="002915CB">
        <w:rPr>
          <w:rFonts w:ascii="GHEA Grapalat" w:hAnsi="GHEA Grapalat" w:cs="GHEA Grapalat"/>
          <w:sz w:val="22"/>
          <w:szCs w:val="22"/>
        </w:rPr>
        <w:t xml:space="preserve"> մարտ ամսին դանադաղեց, սակայն ապրիլ ամսից այն սկսեց նորից արագանալ՝ արձանագրելով դեպի ՌԴ արտահանման աննախադեպ բարձ</w:t>
      </w:r>
      <w:r w:rsidR="002A697C">
        <w:rPr>
          <w:rFonts w:ascii="GHEA Grapalat" w:hAnsi="GHEA Grapalat" w:cs="GHEA Grapalat"/>
          <w:sz w:val="22"/>
          <w:szCs w:val="22"/>
        </w:rPr>
        <w:t>ր</w:t>
      </w:r>
      <w:r w:rsidRPr="002915CB">
        <w:rPr>
          <w:rFonts w:ascii="GHEA Grapalat" w:hAnsi="GHEA Grapalat" w:cs="GHEA Grapalat"/>
          <w:sz w:val="22"/>
          <w:szCs w:val="22"/>
        </w:rPr>
        <w:t xml:space="preserve"> աճ (օրինակ՝ հունիս ամսին արտահանումը դեպի ՌԴ նախորդ տարվա հունիս ամսվա համամեմատ աճել է շուրջ 107.4%-ով)։ </w:t>
      </w:r>
    </w:p>
    <w:p w:rsidR="00825352" w:rsidRPr="002915CB" w:rsidRDefault="00825352" w:rsidP="00EE5ED2">
      <w:pPr>
        <w:spacing w:line="360" w:lineRule="auto"/>
        <w:ind w:firstLine="567"/>
        <w:jc w:val="both"/>
        <w:rPr>
          <w:rFonts w:ascii="GHEA Grapalat" w:hAnsi="GHEA Grapalat" w:cs="GHEA Grapalat"/>
          <w:sz w:val="22"/>
          <w:szCs w:val="22"/>
        </w:rPr>
      </w:pPr>
      <w:r w:rsidRPr="002915CB">
        <w:rPr>
          <w:rFonts w:ascii="GHEA Grapalat" w:hAnsi="GHEA Grapalat" w:cs="GHEA Grapalat"/>
          <w:sz w:val="22"/>
          <w:szCs w:val="22"/>
        </w:rPr>
        <w:lastRenderedPageBreak/>
        <w:t xml:space="preserve">Արտահանման համեմատ ներմուծման </w:t>
      </w:r>
      <w:r w:rsidRPr="002915CB">
        <w:rPr>
          <w:rFonts w:ascii="GHEA Grapalat" w:hAnsi="GHEA Grapalat" w:cs="GHEA Grapalat"/>
          <w:sz w:val="22"/>
          <w:szCs w:val="22"/>
          <w:lang w:val="hy-AM"/>
        </w:rPr>
        <w:t>առաջանցիկ</w:t>
      </w:r>
      <w:r w:rsidRPr="002915CB">
        <w:rPr>
          <w:rFonts w:ascii="GHEA Grapalat" w:hAnsi="GHEA Grapalat" w:cs="GHEA Grapalat"/>
          <w:sz w:val="22"/>
          <w:szCs w:val="22"/>
        </w:rPr>
        <w:t xml:space="preserve"> աճով պայմանավորված` ընթացիկ տարվա առաջին վեց ամիսներին ապրանքների գծով արտաքին առևտրի բացասական մնացորդը նախորդ տարվա նկատմամբ վատթարացել է (69.</w:t>
      </w:r>
      <w:r w:rsidR="00614D15" w:rsidRPr="002915CB">
        <w:rPr>
          <w:rFonts w:ascii="GHEA Grapalat" w:hAnsi="GHEA Grapalat" w:cs="GHEA Grapalat"/>
          <w:sz w:val="22"/>
          <w:szCs w:val="22"/>
        </w:rPr>
        <w:t>7</w:t>
      </w:r>
      <w:r w:rsidRPr="002915CB">
        <w:rPr>
          <w:rFonts w:ascii="GHEA Grapalat" w:hAnsi="GHEA Grapalat" w:cs="GHEA Grapalat"/>
          <w:sz w:val="22"/>
          <w:szCs w:val="22"/>
        </w:rPr>
        <w:t>%-ով) և կազմել 1389.5 մլն ԱՄՆ դոլար:</w:t>
      </w:r>
    </w:p>
    <w:p w:rsidR="00EE5ED2" w:rsidRPr="002915CB" w:rsidRDefault="00EE5ED2" w:rsidP="00EE5ED2">
      <w:pPr>
        <w:spacing w:line="360" w:lineRule="auto"/>
        <w:ind w:firstLine="567"/>
        <w:jc w:val="both"/>
        <w:rPr>
          <w:rFonts w:ascii="GHEA Grapalat" w:hAnsi="GHEA Grapalat" w:cs="GHEA Grapalat"/>
          <w:sz w:val="22"/>
          <w:szCs w:val="22"/>
        </w:rPr>
      </w:pPr>
    </w:p>
    <w:p w:rsidR="00825352" w:rsidRPr="002915CB" w:rsidRDefault="00825352" w:rsidP="00785E13">
      <w:pPr>
        <w:pStyle w:val="a"/>
      </w:pPr>
      <w:r w:rsidRPr="002915CB">
        <w:t>Առևտրային հաշվեկշռի դինամիկան հունվար-հունիս ամիսներին (մլն ԱՄՆ դոլար)</w:t>
      </w:r>
      <w:r w:rsidRPr="002915CB">
        <w:rPr>
          <w:vertAlign w:val="superscript"/>
        </w:rPr>
        <w:footnoteReference w:id="15"/>
      </w:r>
    </w:p>
    <w:p w:rsidR="00825352" w:rsidRPr="002915CB" w:rsidRDefault="00825352" w:rsidP="00825352">
      <w:pPr>
        <w:spacing w:line="360" w:lineRule="auto"/>
        <w:jc w:val="center"/>
        <w:rPr>
          <w:rFonts w:ascii="GHEA Grapalat" w:eastAsia="GHEA Grapalat" w:hAnsi="GHEA Grapalat" w:cs="GHEA Grapalat"/>
          <w:sz w:val="22"/>
          <w:szCs w:val="22"/>
        </w:rPr>
      </w:pPr>
      <w:r w:rsidRPr="002915CB">
        <w:rPr>
          <w:rFonts w:ascii="GHEA Grapalat" w:hAnsi="GHEA Grapalat" w:cs="Sylfaen"/>
          <w:noProof/>
          <w:sz w:val="22"/>
          <w:szCs w:val="22"/>
        </w:rPr>
        <w:drawing>
          <wp:inline distT="0" distB="0" distL="0" distR="0" wp14:anchorId="4A30BF2B" wp14:editId="4B229F53">
            <wp:extent cx="6147880" cy="2217906"/>
            <wp:effectExtent l="0" t="0" r="24765" b="1143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5ED2" w:rsidRPr="002915CB" w:rsidRDefault="00EE5ED2" w:rsidP="00EE5ED2">
      <w:pPr>
        <w:spacing w:line="360" w:lineRule="auto"/>
        <w:ind w:firstLine="567"/>
        <w:jc w:val="both"/>
        <w:rPr>
          <w:rFonts w:ascii="GHEA Grapalat" w:hAnsi="GHEA Grapalat" w:cs="GHEA Grapalat"/>
          <w:b/>
          <w:i/>
          <w:sz w:val="22"/>
          <w:szCs w:val="22"/>
        </w:rPr>
      </w:pPr>
    </w:p>
    <w:p w:rsidR="00825352" w:rsidRPr="002915CB" w:rsidRDefault="00825352" w:rsidP="00EE5ED2">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Արտահանում:</w:t>
      </w:r>
      <w:r w:rsidRPr="002915CB">
        <w:rPr>
          <w:rFonts w:ascii="GHEA Grapalat" w:hAnsi="GHEA Grapalat" w:cs="GHEA Grapalat"/>
          <w:sz w:val="22"/>
          <w:szCs w:val="22"/>
          <w:lang w:val="hy-AM"/>
        </w:rPr>
        <w:t xml:space="preserve"> 2022 թվականի առաջին կիսամյակում արձանագրվել է արտահանման 36.3% աճ` հիմնականում պայմանավորված արտահանման որոշ շուկաներում արտաքին պահանջարկի աճով, մետաղների միջազգային գների աճով, ՌԴ նկատմամբ կիրառվող աննախադեպ պատժամիջոցների արդյունքում Արևմուտքի հետ համագործակցելու սահմանափակումների հետևանքով ՀՀ արտահանման</w:t>
      </w:r>
      <w:r w:rsidR="002A697C">
        <w:rPr>
          <w:rFonts w:ascii="GHEA Grapalat" w:hAnsi="GHEA Grapalat" w:cs="GHEA Grapalat"/>
          <w:sz w:val="22"/>
          <w:szCs w:val="22"/>
        </w:rPr>
        <w:t>՝</w:t>
      </w:r>
      <w:r w:rsidRPr="002915CB">
        <w:rPr>
          <w:rFonts w:ascii="GHEA Grapalat" w:hAnsi="GHEA Grapalat" w:cs="GHEA Grapalat"/>
          <w:sz w:val="22"/>
          <w:szCs w:val="22"/>
          <w:lang w:val="hy-AM"/>
        </w:rPr>
        <w:t xml:space="preserve"> դեպի ՌԴ ընդյալնման հանգամանքով։</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2022 թվականի մարտ ամսին ՌԴ-ի և Ուկրիանիայի միջև հակամարտության և ՌԴ-ի նկատմամբ կիրառվող պատժամիջոցների բացասական ազդեցությունների, արդյունքում</w:t>
      </w:r>
      <w:r w:rsidR="002A697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ՌԴ տնտեսական աճի դանդաղման, մարտ ամսին ռուբլու նկատմամբ դրամի արժևորման, մատակարարման շղթաների որոշակի խաթարման, ինչպես նաև Թեղուտի հանքավայրի շահագործման ժամանակավոր կասեցման արդյունքում արձանագրվել է արտահանման աճի տեմպերի զգալի դանդաղում: Սակայն 2022 թվականի ապրիլ ամսից սկսած</w:t>
      </w:r>
      <w:r w:rsidR="002A697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արտահանման աճը նորից սկսեց արագանալ, ավելին՝ վերջին 3 ամիսներին դեպի ՌԴ արտահանման մեծ տեմպերով ընդլայնում է տեղի ունենում: 2022 թվականին հունվար-հունիս ամիսներին ՀՀ ապրանքների արտահանման 36.3% անվանական դոլարային աճը հիմնականում պայմանավորվել է իրական ծավալների աճով: Իրական արտահանման աճի ցուցանիշը կազմել է 28%:</w:t>
      </w:r>
    </w:p>
    <w:p w:rsidR="00825352" w:rsidRPr="00FF3485" w:rsidRDefault="00825352" w:rsidP="00825352">
      <w:pPr>
        <w:spacing w:line="276" w:lineRule="auto"/>
        <w:jc w:val="both"/>
        <w:rPr>
          <w:rFonts w:ascii="GHEA Grapalat" w:eastAsia="GHEA Grapalat" w:hAnsi="GHEA Grapalat" w:cs="GHEA Grapalat"/>
          <w:b/>
          <w:sz w:val="22"/>
          <w:szCs w:val="22"/>
          <w:lang w:val="hy-AM"/>
        </w:rPr>
      </w:pPr>
    </w:p>
    <w:p w:rsidR="00825352" w:rsidRPr="002915CB" w:rsidRDefault="00825352" w:rsidP="00785E13">
      <w:pPr>
        <w:pStyle w:val="a"/>
      </w:pPr>
      <w:r w:rsidRPr="002915CB">
        <w:rPr>
          <w:rStyle w:val="Char0"/>
        </w:rPr>
        <w:lastRenderedPageBreak/>
        <w:t>Ապրանքների արտահանման միտումները հունվար-հունիս ամիսներին</w:t>
      </w:r>
      <w:r w:rsidRPr="002915CB">
        <w:rPr>
          <w:vertAlign w:val="superscript"/>
        </w:rPr>
        <w:footnoteReference w:id="16"/>
      </w:r>
    </w:p>
    <w:p w:rsidR="00825352" w:rsidRPr="002915CB" w:rsidRDefault="00825352" w:rsidP="00825352">
      <w:pPr>
        <w:keepNext/>
        <w:spacing w:line="276" w:lineRule="auto"/>
        <w:jc w:val="both"/>
        <w:rPr>
          <w:rFonts w:ascii="GHEA Grapalat" w:eastAsia="GHEA Grapalat" w:hAnsi="GHEA Grapalat" w:cs="GHEA Grapalat"/>
          <w:b/>
          <w:sz w:val="22"/>
          <w:szCs w:val="22"/>
          <w:lang w:val="ru-RU"/>
        </w:rPr>
      </w:pPr>
      <w:r w:rsidRPr="002915CB">
        <w:rPr>
          <w:rStyle w:val="Char0"/>
          <w:lang w:val="en-US"/>
        </w:rPr>
        <w:drawing>
          <wp:anchor distT="0" distB="0" distL="114300" distR="114300" simplePos="0" relativeHeight="251662336" behindDoc="1" locked="0" layoutInCell="1" allowOverlap="1" wp14:anchorId="0A4710AB" wp14:editId="6357179B">
            <wp:simplePos x="0" y="0"/>
            <wp:positionH relativeFrom="page">
              <wp:posOffset>4086225</wp:posOffset>
            </wp:positionH>
            <wp:positionV relativeFrom="paragraph">
              <wp:posOffset>12065</wp:posOffset>
            </wp:positionV>
            <wp:extent cx="3305175" cy="2268220"/>
            <wp:effectExtent l="0" t="0" r="9525" b="17780"/>
            <wp:wrapThrough wrapText="bothSides">
              <wp:wrapPolygon edited="0">
                <wp:start x="0" y="0"/>
                <wp:lineTo x="0" y="21588"/>
                <wp:lineTo x="21538" y="21588"/>
                <wp:lineTo x="21538" y="0"/>
                <wp:lineTo x="0" y="0"/>
              </wp:wrapPolygon>
            </wp:wrapThrough>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2915CB">
        <w:rPr>
          <w:rFonts w:ascii="GHEA Grapalat" w:hAnsi="GHEA Grapalat"/>
          <w:noProof/>
          <w:sz w:val="22"/>
          <w:szCs w:val="22"/>
        </w:rPr>
        <w:drawing>
          <wp:inline distT="0" distB="0" distL="0" distR="0" wp14:anchorId="1F318AF3" wp14:editId="4AAC467F">
            <wp:extent cx="3228975" cy="2268220"/>
            <wp:effectExtent l="0" t="0" r="952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B5D9D" w:rsidRPr="002915CB" w:rsidRDefault="00FB5D9D" w:rsidP="00FB5D9D">
      <w:pPr>
        <w:spacing w:line="360" w:lineRule="auto"/>
        <w:ind w:firstLine="720"/>
        <w:jc w:val="both"/>
        <w:rPr>
          <w:rFonts w:ascii="GHEA Grapalat" w:eastAsia="GHEA Grapalat" w:hAnsi="GHEA Grapalat" w:cs="GHEA Grapalat"/>
          <w:sz w:val="22"/>
          <w:szCs w:val="22"/>
        </w:rPr>
      </w:pPr>
    </w:p>
    <w:p w:rsidR="00825352" w:rsidRPr="002915CB" w:rsidRDefault="00825352" w:rsidP="00FB5D9D">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արտահանման աճին բոլոր ապրանքախմբերը դրական նպաստում են ունեցել, մասնավորապես դրական են նպաստել «Թանկարժեք և կիսաթանկարժեք քարեր, թանկարժեք մետաղներ դրանցից իրեր» (12.2 տոկոսային կետով), «Պատրաստի սննդի արտադրանք» (6.7 տոկոսային կետով), «Ոչ թանկարժեք մետաղներ և դրանցից պատրաստված իրեր» (5.4 տոկոսային կետով), «Մեքենաներ և սարքավորումներ»(3.2 տոկոսային կետով), «Հանքահումքային արտադրանք» (1.6 տոկոսային կետով)</w:t>
      </w:r>
      <w:r w:rsidRPr="002915CB">
        <w:rPr>
          <w:rFonts w:ascii="GHEA Grapalat" w:hAnsi="GHEA Grapalat" w:cs="GHEA Grapalat"/>
          <w:sz w:val="22"/>
          <w:szCs w:val="22"/>
          <w:vertAlign w:val="superscript"/>
          <w:lang w:val="hy-AM"/>
        </w:rPr>
        <w:footnoteReference w:id="17"/>
      </w:r>
      <w:r w:rsidRPr="002915CB">
        <w:rPr>
          <w:rFonts w:ascii="GHEA Grapalat" w:hAnsi="GHEA Grapalat" w:cs="GHEA Grapalat"/>
          <w:sz w:val="22"/>
          <w:szCs w:val="22"/>
          <w:lang w:val="hy-AM"/>
        </w:rPr>
        <w:t xml:space="preserve"> ապրանքախմբերը: </w:t>
      </w:r>
    </w:p>
    <w:p w:rsidR="00825352" w:rsidRPr="002915CB" w:rsidRDefault="00825352" w:rsidP="00FB5D9D">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Ներմուծում:</w:t>
      </w:r>
      <w:r w:rsidRPr="002915CB">
        <w:rPr>
          <w:rFonts w:ascii="GHEA Grapalat" w:hAnsi="GHEA Grapalat" w:cs="GHEA Grapalat"/>
          <w:sz w:val="22"/>
          <w:szCs w:val="22"/>
          <w:lang w:val="hy-AM"/>
        </w:rPr>
        <w:t xml:space="preserve"> 2022 թվականի առաջին կիսամյակում արձանագրվել է ներմուծման երկնիշ աճ` հիմնականում պայմանավորված տնտեսական բարձր ակտիվությամբ, ներմուծման բարձր գներով (7․1)% և ներքին պահանջարկի վերականգնմամբ: Դոլարային արտահայտությամբ ապրանքների ներմուծման աճը 2022 թվականի առաջին կիսամյակում կազմել է 48.7%: Այդուհանդերձ</w:t>
      </w:r>
      <w:r w:rsidR="002A697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կիսամյակի ընթացքում նկատվել է ներմուծման աճի տեմպի դանդաղում մինչև ապրիլ, և արդեն իսկ մայիս և հունիս ամիսներին նկատվել է</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աճի արագացում</w:t>
      </w:r>
      <w:r w:rsidR="00AE6DFB" w:rsidRPr="00FF3485">
        <w:rPr>
          <w:rFonts w:ascii="GHEA Grapalat" w:hAnsi="GHEA Grapalat" w:cs="GHEA Grapalat"/>
          <w:sz w:val="22"/>
          <w:szCs w:val="22"/>
          <w:lang w:val="hy-AM"/>
        </w:rPr>
        <w:t>,</w:t>
      </w:r>
      <w:r w:rsidR="002A697C">
        <w:rPr>
          <w:rFonts w:ascii="GHEA Grapalat" w:hAnsi="GHEA Grapalat" w:cs="GHEA Grapalat"/>
          <w:sz w:val="22"/>
          <w:szCs w:val="22"/>
          <w:lang w:val="hy-AM"/>
        </w:rPr>
        <w:t xml:space="preserve"> մասնավորապես</w:t>
      </w:r>
      <w:r w:rsidR="002A697C" w:rsidRPr="00FF3485">
        <w:rPr>
          <w:rFonts w:ascii="GHEA Grapalat" w:hAnsi="GHEA Grapalat" w:cs="GHEA Grapalat"/>
          <w:sz w:val="22"/>
          <w:szCs w:val="22"/>
          <w:lang w:val="hy-AM"/>
        </w:rPr>
        <w:t>՝</w:t>
      </w:r>
      <w:r w:rsidR="002A697C">
        <w:rPr>
          <w:rFonts w:ascii="GHEA Grapalat" w:hAnsi="GHEA Grapalat" w:cs="GHEA Grapalat"/>
          <w:sz w:val="22"/>
          <w:szCs w:val="22"/>
          <w:lang w:val="hy-AM"/>
        </w:rPr>
        <w:t xml:space="preserve"> հունիս ամ</w:t>
      </w:r>
      <w:r w:rsidRPr="002915CB">
        <w:rPr>
          <w:rFonts w:ascii="GHEA Grapalat" w:hAnsi="GHEA Grapalat" w:cs="GHEA Grapalat"/>
          <w:sz w:val="22"/>
          <w:szCs w:val="22"/>
          <w:lang w:val="hy-AM"/>
        </w:rPr>
        <w:t>ս</w:t>
      </w:r>
      <w:r w:rsidR="002A697C" w:rsidRPr="00FF3485">
        <w:rPr>
          <w:rFonts w:ascii="GHEA Grapalat" w:hAnsi="GHEA Grapalat" w:cs="GHEA Grapalat"/>
          <w:sz w:val="22"/>
          <w:szCs w:val="22"/>
          <w:lang w:val="hy-AM"/>
        </w:rPr>
        <w:t>ի</w:t>
      </w:r>
      <w:r w:rsidRPr="002915CB">
        <w:rPr>
          <w:rFonts w:ascii="GHEA Grapalat" w:hAnsi="GHEA Grapalat" w:cs="GHEA Grapalat"/>
          <w:sz w:val="22"/>
          <w:szCs w:val="22"/>
          <w:lang w:val="hy-AM"/>
        </w:rPr>
        <w:t xml:space="preserve">ն աճը կազմել է 73.1% (տե՛ս ստորև ներկայացված գծապատկերը): 2022 թվականի հունվար-հունիս ամիսների ՀՀ ապրանքների ներմուծման անվանական դոլարային աճի կեսը պայմանավորվել է իրական ծավալների աճով (24.5%): </w:t>
      </w:r>
    </w:p>
    <w:p w:rsidR="00825352" w:rsidRPr="002915CB" w:rsidRDefault="00825352" w:rsidP="00FB5D9D">
      <w:pPr>
        <w:spacing w:line="360" w:lineRule="auto"/>
        <w:ind w:firstLine="567"/>
        <w:jc w:val="both"/>
        <w:rPr>
          <w:rFonts w:ascii="GHEA Grapalat" w:hAnsi="GHEA Grapalat" w:cs="GHEA Grapalat"/>
          <w:sz w:val="22"/>
          <w:szCs w:val="22"/>
          <w:lang w:val="hy-AM"/>
        </w:rPr>
      </w:pPr>
    </w:p>
    <w:p w:rsidR="00825352" w:rsidRPr="002915CB" w:rsidRDefault="00825352" w:rsidP="00785E13">
      <w:pPr>
        <w:pStyle w:val="a"/>
        <w:rPr>
          <w:rStyle w:val="Char0"/>
        </w:rPr>
      </w:pPr>
      <w:r w:rsidRPr="002915CB">
        <w:rPr>
          <w:rStyle w:val="Char0"/>
        </w:rPr>
        <w:lastRenderedPageBreak/>
        <w:t>Ապրանքների ներմուծման միտումները հունվար-հունիս ամիսներին</w:t>
      </w:r>
      <w:r w:rsidRPr="002915CB">
        <w:rPr>
          <w:rStyle w:val="Char0"/>
          <w:vertAlign w:val="superscript"/>
        </w:rPr>
        <w:footnoteReference w:id="18"/>
      </w:r>
    </w:p>
    <w:p w:rsidR="00825352" w:rsidRPr="002915CB" w:rsidRDefault="00825352" w:rsidP="00825352">
      <w:pPr>
        <w:spacing w:before="240" w:line="360" w:lineRule="auto"/>
        <w:jc w:val="both"/>
        <w:rPr>
          <w:rFonts w:ascii="GHEA Grapalat" w:eastAsia="GHEA Grapalat" w:hAnsi="GHEA Grapalat" w:cs="GHEA Grapalat"/>
          <w:sz w:val="22"/>
          <w:szCs w:val="22"/>
        </w:rPr>
      </w:pPr>
      <w:r w:rsidRPr="002915CB">
        <w:rPr>
          <w:rFonts w:ascii="GHEA Grapalat" w:eastAsia="Calibri" w:hAnsi="GHEA Grapalat"/>
          <w:i/>
          <w:noProof/>
          <w:sz w:val="22"/>
          <w:szCs w:val="22"/>
        </w:rPr>
        <w:drawing>
          <wp:anchor distT="0" distB="0" distL="114300" distR="114300" simplePos="0" relativeHeight="251661312" behindDoc="1" locked="0" layoutInCell="1" allowOverlap="1" wp14:anchorId="4E195525" wp14:editId="3CE45292">
            <wp:simplePos x="0" y="0"/>
            <wp:positionH relativeFrom="page">
              <wp:posOffset>4030980</wp:posOffset>
            </wp:positionH>
            <wp:positionV relativeFrom="paragraph">
              <wp:posOffset>76835</wp:posOffset>
            </wp:positionV>
            <wp:extent cx="3148330" cy="2122805"/>
            <wp:effectExtent l="0" t="0" r="0" b="0"/>
            <wp:wrapTight wrapText="bothSides">
              <wp:wrapPolygon edited="0">
                <wp:start x="0" y="0"/>
                <wp:lineTo x="0" y="21516"/>
                <wp:lineTo x="21565" y="21516"/>
                <wp:lineTo x="21565"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2915CB">
        <w:rPr>
          <w:rFonts w:ascii="GHEA Grapalat" w:hAnsi="GHEA Grapalat"/>
          <w:noProof/>
          <w:sz w:val="22"/>
          <w:szCs w:val="22"/>
        </w:rPr>
        <w:drawing>
          <wp:inline distT="0" distB="0" distL="0" distR="0" wp14:anchorId="1E40749F" wp14:editId="29C6B97A">
            <wp:extent cx="3140765" cy="2115047"/>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6DFB" w:rsidRPr="002915CB" w:rsidRDefault="00AE6DFB" w:rsidP="00AE6DFB">
      <w:pPr>
        <w:spacing w:line="360" w:lineRule="auto"/>
        <w:ind w:firstLine="567"/>
        <w:jc w:val="both"/>
        <w:rPr>
          <w:rFonts w:ascii="GHEA Grapalat" w:hAnsi="GHEA Grapalat" w:cs="GHEA Grapalat"/>
          <w:sz w:val="22"/>
          <w:szCs w:val="22"/>
          <w:lang w:val="hy-AM"/>
        </w:rPr>
      </w:pP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հունվար-հունիս ամիսներին գրեթե բոլոր ապրանքախմբերով տեղի է ունեցել ներմուծման՝ դոլարային արտահայտությամբ ծավալների աճ: Աճին ամենամեծ նպաստումն են ունեցել «Հանքահումքային արտադրանք» (6.8 տոկոսային կետ), «Մեքենաներ, սարքավորումներ և մեխանիզմներ» (6.6 տոկոսային կետ) «Վերգետնյա, օդային և ջրային տրանսպորտի միջոցներ»</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(6.3 տոկոսային կետ), «Թանկարժեք և կիսաթանկարժեք քարեր, թանկարժեք մետաղներ և դրանցից իրեր» (5.5 տոկոսային կետ), «Ոչ թանկարժեք մետաղներ և դրանցից պատրաստված իրեր» (4.4 տոկոսային կետ) ապրանքախմբերը</w:t>
      </w:r>
      <w:r w:rsidRPr="002915CB">
        <w:rPr>
          <w:rFonts w:ascii="GHEA Grapalat" w:hAnsi="GHEA Grapalat" w:cs="GHEA Grapalat"/>
          <w:sz w:val="22"/>
          <w:szCs w:val="22"/>
          <w:vertAlign w:val="superscript"/>
          <w:lang w:val="hy-AM"/>
        </w:rPr>
        <w:footnoteReference w:id="19"/>
      </w:r>
      <w:r w:rsidRPr="002915CB">
        <w:rPr>
          <w:rFonts w:ascii="GHEA Grapalat" w:hAnsi="GHEA Grapalat" w:cs="GHEA Grapalat"/>
          <w:sz w:val="22"/>
          <w:szCs w:val="22"/>
          <w:lang w:val="hy-AM"/>
        </w:rPr>
        <w:t xml:space="preserve">։ </w:t>
      </w: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Ըստ ապրանքների լայն տնտեսական դասակարգման</w:t>
      </w:r>
      <w:r w:rsidRPr="002915CB">
        <w:rPr>
          <w:rFonts w:ascii="GHEA Grapalat" w:hAnsi="GHEA Grapalat" w:cs="GHEA Grapalat"/>
          <w:sz w:val="22"/>
          <w:szCs w:val="22"/>
          <w:vertAlign w:val="superscript"/>
          <w:lang w:val="hy-AM"/>
        </w:rPr>
        <w:footnoteReference w:id="20"/>
      </w:r>
      <w:r w:rsidRPr="002915CB">
        <w:rPr>
          <w:rFonts w:ascii="GHEA Grapalat" w:hAnsi="GHEA Grapalat" w:cs="GHEA Grapalat"/>
          <w:sz w:val="22"/>
          <w:szCs w:val="22"/>
          <w:lang w:val="hy-AM"/>
        </w:rPr>
        <w:t xml:space="preserve"> ներմուծման հունվար-հունիս ամիսների աճին նպաստել են «Միջանկյալ սպառման ապրանքները» (28.1 տոկոսային կետով, այդ թվում՝ արդյունաբերական մատակարարումները՝ 17.1 տոկոսային կետով), «Վերջնական սպառման ապրանքները» (9.52</w:t>
      </w:r>
      <w:r w:rsidR="002A697C" w:rsidRPr="00FF3485">
        <w:rPr>
          <w:rFonts w:ascii="GHEA Grapalat" w:hAnsi="GHEA Grapalat" w:cs="GHEA Grapalat"/>
          <w:sz w:val="22"/>
          <w:szCs w:val="22"/>
          <w:lang w:val="hy-AM"/>
        </w:rPr>
        <w:t xml:space="preserve"> </w:t>
      </w:r>
      <w:r w:rsidRPr="002915CB">
        <w:rPr>
          <w:rFonts w:ascii="GHEA Grapalat" w:hAnsi="GHEA Grapalat" w:cs="GHEA Grapalat"/>
          <w:sz w:val="22"/>
          <w:szCs w:val="22"/>
          <w:lang w:val="hy-AM"/>
        </w:rPr>
        <w:t>տոկոսային կետով), «Կապիտալ ապրանքները» (7.0 տոկոսային կետով) և «Մարդատար ավտոմեքենաները» (4.4 տոկոսային կետով)</w:t>
      </w:r>
      <w:r w:rsidRPr="002915CB">
        <w:rPr>
          <w:rFonts w:ascii="GHEA Grapalat" w:hAnsi="GHEA Grapalat" w:cs="GHEA Grapalat"/>
          <w:sz w:val="22"/>
          <w:szCs w:val="22"/>
          <w:vertAlign w:val="superscript"/>
          <w:lang w:val="hy-AM"/>
        </w:rPr>
        <w:footnoteReference w:id="21"/>
      </w:r>
      <w:r w:rsidRPr="002915CB">
        <w:rPr>
          <w:rFonts w:ascii="GHEA Grapalat" w:hAnsi="GHEA Grapalat" w:cs="GHEA Grapalat"/>
          <w:sz w:val="22"/>
          <w:szCs w:val="22"/>
          <w:lang w:val="hy-AM"/>
        </w:rPr>
        <w:t xml:space="preserve">: </w:t>
      </w: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Ներմուծման ծածկման գործակից:</w:t>
      </w:r>
      <w:r w:rsidRPr="002915CB">
        <w:rPr>
          <w:rFonts w:ascii="GHEA Grapalat" w:hAnsi="GHEA Grapalat" w:cs="GHEA Grapalat"/>
          <w:sz w:val="22"/>
          <w:szCs w:val="22"/>
          <w:lang w:val="hy-AM"/>
        </w:rPr>
        <w:t xml:space="preserve"> Ներմուծման ծածկման գործակ</w:t>
      </w:r>
      <w:sdt>
        <w:sdtPr>
          <w:rPr>
            <w:rFonts w:ascii="GHEA Grapalat" w:hAnsi="GHEA Grapalat" w:cs="GHEA Grapalat"/>
            <w:sz w:val="22"/>
            <w:szCs w:val="22"/>
            <w:lang w:val="hy-AM"/>
          </w:rPr>
          <w:tag w:val="goog_rdk_99"/>
          <w:id w:val="-1759356997"/>
        </w:sdtPr>
        <w:sdtEndPr/>
        <w:sdtContent>
          <w:r w:rsidRPr="002915CB">
            <w:rPr>
              <w:rFonts w:ascii="GHEA Grapalat" w:hAnsi="GHEA Grapalat" w:cs="GHEA Grapalat"/>
              <w:sz w:val="22"/>
              <w:szCs w:val="22"/>
              <w:lang w:val="hy-AM"/>
            </w:rPr>
            <w:t>ի</w:t>
          </w:r>
        </w:sdtContent>
      </w:sdt>
      <w:r w:rsidRPr="002915CB">
        <w:rPr>
          <w:rFonts w:ascii="GHEA Grapalat" w:hAnsi="GHEA Grapalat" w:cs="GHEA Grapalat"/>
          <w:sz w:val="22"/>
          <w:szCs w:val="22"/>
          <w:lang w:val="hy-AM"/>
        </w:rPr>
        <w:t>ցը 2022 թվականի առաջին կիսամյակում նախորդ տարվա նույն ժամանակահատվածի նկատմամբ վատթարացել է. 2022 թվականի հունվար-հունիսին արտահանման հաշվին ֆինանսավորվել է ներմուծման շուրջ 68%-ը:</w:t>
      </w:r>
    </w:p>
    <w:p w:rsidR="00825352" w:rsidRPr="002915CB" w:rsidRDefault="00825352" w:rsidP="00AE6DFB">
      <w:pPr>
        <w:spacing w:line="360" w:lineRule="auto"/>
        <w:ind w:firstLine="567"/>
        <w:jc w:val="both"/>
        <w:rPr>
          <w:rFonts w:ascii="GHEA Grapalat" w:hAnsi="GHEA Grapalat" w:cs="GHEA Grapalat"/>
          <w:sz w:val="22"/>
          <w:szCs w:val="22"/>
          <w:lang w:val="hy-AM"/>
        </w:rPr>
      </w:pPr>
    </w:p>
    <w:p w:rsidR="00825352" w:rsidRPr="002915CB" w:rsidRDefault="00825352" w:rsidP="00785E13">
      <w:pPr>
        <w:pStyle w:val="a"/>
        <w:rPr>
          <w:rStyle w:val="Char0"/>
        </w:rPr>
      </w:pPr>
      <w:r w:rsidRPr="002915CB">
        <w:rPr>
          <w:rStyle w:val="Char0"/>
        </w:rPr>
        <w:lastRenderedPageBreak/>
        <w:t>Ներմուծման ծածկման գործակիցը հունվար-հունիս ամիսներին</w:t>
      </w:r>
      <w:r w:rsidRPr="002915CB">
        <w:rPr>
          <w:rStyle w:val="Char0"/>
          <w:vertAlign w:val="superscript"/>
        </w:rPr>
        <w:footnoteReference w:id="22"/>
      </w:r>
    </w:p>
    <w:p w:rsidR="00825352" w:rsidRPr="002915CB" w:rsidRDefault="00825352" w:rsidP="00825352">
      <w:pPr>
        <w:jc w:val="center"/>
        <w:rPr>
          <w:rFonts w:ascii="GHEA Grapalat" w:eastAsia="GHEA Grapalat" w:hAnsi="GHEA Grapalat" w:cs="GHEA Grapalat"/>
          <w:i/>
          <w:color w:val="000000"/>
          <w:sz w:val="22"/>
          <w:szCs w:val="22"/>
        </w:rPr>
      </w:pPr>
      <w:r w:rsidRPr="002915CB">
        <w:rPr>
          <w:rFonts w:ascii="GHEA Grapalat" w:hAnsi="GHEA Grapalat"/>
          <w:i/>
          <w:noProof/>
          <w:sz w:val="22"/>
          <w:szCs w:val="22"/>
        </w:rPr>
        <w:drawing>
          <wp:inline distT="0" distB="0" distL="0" distR="0" wp14:anchorId="47C63C43" wp14:editId="1B029FFF">
            <wp:extent cx="6365631" cy="2083777"/>
            <wp:effectExtent l="0" t="0" r="16510" b="1206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5352" w:rsidRPr="002915CB" w:rsidRDefault="00825352" w:rsidP="00825352">
      <w:pPr>
        <w:spacing w:line="360" w:lineRule="auto"/>
        <w:ind w:firstLine="540"/>
        <w:jc w:val="both"/>
        <w:rPr>
          <w:rFonts w:ascii="GHEA Grapalat" w:eastAsia="GHEA Grapalat" w:hAnsi="GHEA Grapalat" w:cs="GHEA Grapalat"/>
          <w:b/>
          <w:i/>
          <w:sz w:val="22"/>
          <w:szCs w:val="22"/>
        </w:rPr>
      </w:pP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Արտաքին առևտուրն ըստ գործընկեր երկրների:</w:t>
      </w:r>
      <w:r w:rsidRPr="002915CB">
        <w:rPr>
          <w:rFonts w:ascii="GHEA Grapalat" w:hAnsi="GHEA Grapalat" w:cs="GHEA Grapalat"/>
          <w:sz w:val="22"/>
          <w:szCs w:val="22"/>
          <w:lang w:val="hy-AM"/>
        </w:rPr>
        <w:t xml:space="preserve"> 2022 թվականի առաջին կիսամյակում արտաքին առևտրաշրջանառության աշխարհագրական կառուցվածքը որոշ չափով փոխվել է։ ԵԱՏՄ-ի և այլ երկրների հետ արտաքին առևտրաշրջանառության ծավալները մեծացել են, մինչդեռ ԵՄ-ի հետ՝ նվազել։ ՀՀ արտաքին առևտրաշրջանառության 34.9%-ը բաժին է ընկել ԱՊՀ (որից 33.6%</w:t>
      </w:r>
      <w:r w:rsidRPr="002915CB">
        <w:rPr>
          <w:rFonts w:ascii="GHEA Grapalat" w:hAnsi="GHEA Grapalat" w:cs="GHEA Grapalat"/>
          <w:sz w:val="22"/>
          <w:szCs w:val="22"/>
          <w:lang w:val="hy-AM"/>
        </w:rPr>
        <w:noBreakHyphen/>
        <w:t>ը` ԵԱՏՄ), 18.8%-ը` ԵՄ և 46.73-ը` այլ երկրներին: ՀՀ արտաքին առևտրաշրջա</w:t>
      </w:r>
      <w:r w:rsidR="00AE6DFB" w:rsidRPr="002915CB">
        <w:rPr>
          <w:rFonts w:ascii="GHEA Grapalat" w:hAnsi="GHEA Grapalat" w:cs="GHEA Grapalat"/>
          <w:sz w:val="22"/>
          <w:szCs w:val="22"/>
          <w:lang w:val="hy-AM"/>
        </w:rPr>
        <w:t>նառության մեջ ԱՊՀ երկրների կշիռ</w:t>
      </w:r>
      <w:r w:rsidR="00AE6DFB" w:rsidRPr="00FF3485">
        <w:rPr>
          <w:rFonts w:ascii="GHEA Grapalat" w:hAnsi="GHEA Grapalat" w:cs="GHEA Grapalat"/>
          <w:sz w:val="22"/>
          <w:szCs w:val="22"/>
          <w:lang w:val="hy-AM"/>
        </w:rPr>
        <w:t>ն</w:t>
      </w:r>
      <w:r w:rsidRPr="002915CB">
        <w:rPr>
          <w:rFonts w:ascii="GHEA Grapalat" w:hAnsi="GHEA Grapalat" w:cs="GHEA Grapalat"/>
          <w:sz w:val="22"/>
          <w:szCs w:val="22"/>
          <w:lang w:val="hy-AM"/>
        </w:rPr>
        <w:t xml:space="preserve"> ավելացել է 0</w:t>
      </w:r>
      <w:r w:rsidR="00AE6DFB" w:rsidRPr="00FF3485">
        <w:rPr>
          <w:rFonts w:ascii="GHEA Grapalat" w:hAnsi="GHEA Grapalat" w:cs="GHEA Grapalat"/>
          <w:sz w:val="22"/>
          <w:szCs w:val="22"/>
          <w:lang w:val="hy-AM"/>
        </w:rPr>
        <w:t>.</w:t>
      </w:r>
      <w:r w:rsidRPr="002915CB">
        <w:rPr>
          <w:rFonts w:ascii="GHEA Grapalat" w:hAnsi="GHEA Grapalat" w:cs="GHEA Grapalat"/>
          <w:sz w:val="22"/>
          <w:szCs w:val="22"/>
          <w:lang w:val="hy-AM"/>
        </w:rPr>
        <w:t>8, ԵԱՏՄ-</w:t>
      </w:r>
      <w:r w:rsidR="00380573" w:rsidRPr="00FF3485">
        <w:rPr>
          <w:rFonts w:ascii="GHEA Grapalat" w:hAnsi="GHEA Grapalat" w:cs="GHEA Grapalat"/>
          <w:sz w:val="22"/>
          <w:szCs w:val="22"/>
          <w:lang w:val="hy-AM"/>
        </w:rPr>
        <w:t>ի</w:t>
      </w:r>
      <w:r w:rsidRPr="002915CB">
        <w:rPr>
          <w:rFonts w:ascii="GHEA Grapalat" w:hAnsi="GHEA Grapalat" w:cs="GHEA Grapalat"/>
          <w:sz w:val="22"/>
          <w:szCs w:val="22"/>
          <w:lang w:val="hy-AM"/>
        </w:rPr>
        <w:t>ն</w:t>
      </w:r>
      <w:r w:rsidR="00380573" w:rsidRPr="00FF3485">
        <w:rPr>
          <w:rFonts w:ascii="GHEA Grapalat" w:hAnsi="GHEA Grapalat" w:cs="GHEA Grapalat"/>
          <w:sz w:val="22"/>
          <w:szCs w:val="22"/>
          <w:lang w:val="hy-AM"/>
        </w:rPr>
        <w:t>ը</w:t>
      </w:r>
      <w:r w:rsidRPr="002915CB">
        <w:rPr>
          <w:rFonts w:ascii="GHEA Grapalat" w:hAnsi="GHEA Grapalat" w:cs="GHEA Grapalat"/>
          <w:sz w:val="22"/>
          <w:szCs w:val="22"/>
          <w:lang w:val="hy-AM"/>
        </w:rPr>
        <w:t>՝ 1.9 (ՌԴ՝ 1</w:t>
      </w:r>
      <w:r w:rsidR="00AE6DFB"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3 ), այլ երկրներինը՝ 0.3 տոկոսային կետերով, իսկ ԵՄ-ի կշիռը նվազել է 1.1 տոկոսային կետով։ </w:t>
      </w: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ՀՀ խոշոր առևտրային գործընկեր ՌԴ-ի հետ առևտրաշրջանառության ծավալները հաշվետու ժամանակաշրջանում սկսել են վերականգնվել</w:t>
      </w:r>
      <w:r w:rsidR="00AE6DFB" w:rsidRPr="002915CB">
        <w:rPr>
          <w:rFonts w:ascii="GHEA Grapalat" w:hAnsi="GHEA Grapalat" w:cs="GHEA Grapalat"/>
          <w:sz w:val="22"/>
          <w:szCs w:val="22"/>
          <w:lang w:val="hy-AM"/>
        </w:rPr>
        <w:t>,</w:t>
      </w:r>
      <w:r w:rsidRPr="002915CB">
        <w:rPr>
          <w:rFonts w:ascii="GHEA Grapalat" w:hAnsi="GHEA Grapalat" w:cs="GHEA Grapalat"/>
          <w:sz w:val="22"/>
          <w:szCs w:val="22"/>
          <w:lang w:val="hy-AM"/>
        </w:rPr>
        <w:t xml:space="preserve"> մասնավորապես՝ հունիս ամսին արտահանումը դեպի ՌԴ աճել է 107.4%-ով, իսկ ներմուծումը` 73%-ով: 2022 թվականի առաջին կիսամյակում ՌԴ-ի կշիռը կազմել է ՀՀ առևտրաշրջանառության 32%-ը: ՀՀ խոշոր առևտրային գործընկերների շրջանակում ընդգրկված էին նաև Չինաստանը (13.2%), Իրանը (6.0%), Գերմանիան (3.7%), ԱՄՆ-ն և Վրաստանը (միևնույն՝ 3.1%) և այլն:</w:t>
      </w:r>
    </w:p>
    <w:p w:rsidR="00825352" w:rsidRPr="002915CB" w:rsidRDefault="00825352" w:rsidP="00AE6DFB">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Դրամական փոխանցումներ</w:t>
      </w:r>
      <w:r w:rsidRPr="002915CB">
        <w:rPr>
          <w:rFonts w:ascii="GHEA Grapalat" w:hAnsi="GHEA Grapalat" w:cs="GHEA Grapalat"/>
          <w:b/>
          <w:i/>
          <w:sz w:val="22"/>
          <w:szCs w:val="22"/>
          <w:vertAlign w:val="superscript"/>
          <w:lang w:val="hy-AM"/>
        </w:rPr>
        <w:footnoteReference w:id="23"/>
      </w:r>
      <w:r w:rsidRPr="002915CB">
        <w:rPr>
          <w:rFonts w:ascii="GHEA Grapalat" w:hAnsi="GHEA Grapalat" w:cs="GHEA Grapalat"/>
          <w:b/>
          <w:i/>
          <w:sz w:val="22"/>
          <w:szCs w:val="22"/>
          <w:lang w:val="hy-AM"/>
        </w:rPr>
        <w:t>:</w:t>
      </w:r>
      <w:r w:rsidR="00380573">
        <w:rPr>
          <w:rFonts w:ascii="GHEA Grapalat" w:hAnsi="GHEA Grapalat" w:cs="GHEA Grapalat"/>
          <w:sz w:val="22"/>
          <w:szCs w:val="22"/>
          <w:lang w:val="hy-AM"/>
        </w:rPr>
        <w:t xml:space="preserve"> Տարեսկզբից նկատվում </w:t>
      </w:r>
      <w:r w:rsidR="00380573" w:rsidRPr="00FF3485">
        <w:rPr>
          <w:rFonts w:ascii="GHEA Grapalat" w:hAnsi="GHEA Grapalat" w:cs="GHEA Grapalat"/>
          <w:sz w:val="22"/>
          <w:szCs w:val="22"/>
          <w:lang w:val="hy-AM"/>
        </w:rPr>
        <w:t>է</w:t>
      </w:r>
      <w:r w:rsidRPr="002915CB">
        <w:rPr>
          <w:rFonts w:ascii="GHEA Grapalat" w:hAnsi="GHEA Grapalat" w:cs="GHEA Grapalat"/>
          <w:sz w:val="22"/>
          <w:szCs w:val="22"/>
          <w:lang w:val="hy-AM"/>
        </w:rPr>
        <w:t xml:space="preserve"> ՀՀ բանկերի միջոցով ֆիզիկական անձանց անունով արտերկրից ստացված զուտ փոխանցումների զգալի աճ՝ պայմանավորված ինչպես տրանսֆերտների ներհոսքով, այնպես էլ ռուս-ուկրաինական հակամարտության արդյունքում հիմնականում ՌԴ-ից դեպի ՀՀ տեղափոխված կամ գրանցված տնտեսական որոշ գործունեություններով։ Տնտեսություն ներհոսող դրամական զուտ փոխանցումները (առևտրային և ոչ </w:t>
      </w:r>
      <w:r w:rsidRPr="002915CB">
        <w:rPr>
          <w:rFonts w:ascii="GHEA Grapalat" w:hAnsi="GHEA Grapalat" w:cs="GHEA Grapalat"/>
          <w:sz w:val="22"/>
          <w:szCs w:val="22"/>
          <w:lang w:val="hy-AM"/>
        </w:rPr>
        <w:lastRenderedPageBreak/>
        <w:t>առևտրային բնույթի) 2022 թվականի հունվար-հունիս ամիսներին էական աճ են դրսևորել</w:t>
      </w:r>
      <w:r w:rsidR="006050F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շուրջ 155.7</w:t>
      </w:r>
      <w:r w:rsidR="006050FC" w:rsidRPr="002915CB">
        <w:rPr>
          <w:rFonts w:ascii="GHEA Grapalat" w:hAnsi="GHEA Grapalat" w:cs="GHEA Grapalat"/>
          <w:sz w:val="22"/>
          <w:szCs w:val="22"/>
          <w:lang w:val="hy-AM"/>
        </w:rPr>
        <w:t>%, հիմնականում</w:t>
      </w:r>
      <w:r w:rsidR="006050FC"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ՌԴ-ի հաշվին: ՌԴ-ից հունիս ամսի զուտ փոխանցումների աճը կազմել է 391.2%: </w:t>
      </w:r>
    </w:p>
    <w:p w:rsidR="00180A83" w:rsidRPr="002915CB" w:rsidRDefault="00180A83" w:rsidP="00180A83">
      <w:pPr>
        <w:spacing w:line="360" w:lineRule="auto"/>
        <w:ind w:firstLine="567"/>
        <w:jc w:val="both"/>
        <w:rPr>
          <w:rFonts w:ascii="GHEA Grapalat" w:hAnsi="GHEA Grapalat" w:cs="GHEA Grapalat"/>
          <w:sz w:val="22"/>
          <w:szCs w:val="22"/>
          <w:lang w:val="hy-AM"/>
        </w:rPr>
      </w:pPr>
    </w:p>
    <w:p w:rsidR="00180A83" w:rsidRPr="002915CB" w:rsidRDefault="00180A83" w:rsidP="00180A83">
      <w:pPr>
        <w:pStyle w:val="Heading6"/>
        <w:ind w:left="567"/>
        <w:rPr>
          <w:rFonts w:ascii="GHEA Grapalat" w:hAnsi="GHEA Grapalat"/>
          <w:b/>
          <w:sz w:val="22"/>
          <w:szCs w:val="22"/>
          <w:u w:val="none"/>
        </w:rPr>
      </w:pPr>
      <w:r w:rsidRPr="002915CB">
        <w:rPr>
          <w:rFonts w:ascii="GHEA Grapalat" w:hAnsi="GHEA Grapalat"/>
          <w:b/>
          <w:sz w:val="22"/>
          <w:szCs w:val="22"/>
          <w:u w:val="none"/>
        </w:rPr>
        <w:t>Արժութային շուկա և փոխարժեքներ</w:t>
      </w:r>
    </w:p>
    <w:p w:rsidR="00180A83" w:rsidRPr="002915CB" w:rsidRDefault="00180A83" w:rsidP="00F31924">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Արժութային շուկա։</w:t>
      </w:r>
      <w:r w:rsidRPr="002915CB">
        <w:rPr>
          <w:rFonts w:ascii="GHEA Grapalat" w:hAnsi="GHEA Grapalat" w:cs="GHEA Grapalat"/>
          <w:sz w:val="22"/>
          <w:szCs w:val="22"/>
          <w:lang w:val="hy-AM"/>
        </w:rPr>
        <w:t xml:space="preserve"> ՀՀ արժութային շուկայի շր</w:t>
      </w:r>
      <w:r w:rsidR="00380573">
        <w:rPr>
          <w:rFonts w:ascii="GHEA Grapalat" w:hAnsi="GHEA Grapalat" w:cs="GHEA Grapalat"/>
          <w:sz w:val="22"/>
          <w:szCs w:val="22"/>
          <w:lang w:val="hy-AM"/>
        </w:rPr>
        <w:t>ջանառության ծավալ</w:t>
      </w:r>
      <w:r w:rsidRPr="002915CB">
        <w:rPr>
          <w:rFonts w:ascii="GHEA Grapalat" w:hAnsi="GHEA Grapalat" w:cs="GHEA Grapalat"/>
          <w:sz w:val="22"/>
          <w:szCs w:val="22"/>
          <w:lang w:val="hy-AM"/>
        </w:rPr>
        <w:t>ը 2022</w:t>
      </w:r>
      <w:r w:rsidR="00380573" w:rsidRPr="00FF3485">
        <w:rPr>
          <w:rFonts w:ascii="GHEA Grapalat" w:hAnsi="GHEA Grapalat" w:cs="GHEA Grapalat"/>
          <w:sz w:val="22"/>
          <w:szCs w:val="22"/>
          <w:lang w:val="hy-AM"/>
        </w:rPr>
        <w:t xml:space="preserve"> </w:t>
      </w:r>
      <w:r w:rsidRPr="002915CB">
        <w:rPr>
          <w:rFonts w:ascii="GHEA Grapalat" w:hAnsi="GHEA Grapalat" w:cs="GHEA Grapalat"/>
          <w:sz w:val="22"/>
          <w:szCs w:val="22"/>
          <w:lang w:val="hy-AM"/>
        </w:rPr>
        <w:t>թ</w:t>
      </w:r>
      <w:r w:rsidR="00380573" w:rsidRPr="00FF3485">
        <w:rPr>
          <w:rFonts w:ascii="GHEA Grapalat" w:hAnsi="GHEA Grapalat" w:cs="GHEA Grapalat"/>
          <w:sz w:val="22"/>
          <w:szCs w:val="22"/>
          <w:lang w:val="hy-AM"/>
        </w:rPr>
        <w:t>վական</w:t>
      </w:r>
      <w:r w:rsidRPr="002915CB">
        <w:rPr>
          <w:rFonts w:ascii="GHEA Grapalat" w:hAnsi="GHEA Grapalat" w:cs="GHEA Grapalat"/>
          <w:sz w:val="22"/>
          <w:szCs w:val="22"/>
          <w:lang w:val="hy-AM"/>
        </w:rPr>
        <w:t>ի մարտից սկսած ավելացել է, սակայն եթե մարտ և ապրիլ ամիսներին այն դրսևորվել է բանկերի կողմից վաճառքի ծավալներին գերազանցող առքի ծավալներով, ապա մայիս և հունիս ամ</w:t>
      </w:r>
      <w:r w:rsidR="00380573">
        <w:rPr>
          <w:rFonts w:ascii="GHEA Grapalat" w:hAnsi="GHEA Grapalat" w:cs="GHEA Grapalat"/>
          <w:sz w:val="22"/>
          <w:szCs w:val="22"/>
          <w:lang w:val="hy-AM"/>
        </w:rPr>
        <w:t>իսներին առքի և վաճառքի ծավալներ</w:t>
      </w:r>
      <w:r w:rsidR="00380573" w:rsidRPr="00FF3485">
        <w:rPr>
          <w:rFonts w:ascii="GHEA Grapalat" w:hAnsi="GHEA Grapalat" w:cs="GHEA Grapalat"/>
          <w:sz w:val="22"/>
          <w:szCs w:val="22"/>
          <w:lang w:val="hy-AM"/>
        </w:rPr>
        <w:t>ն</w:t>
      </w:r>
      <w:r w:rsidRPr="002915CB">
        <w:rPr>
          <w:rFonts w:ascii="GHEA Grapalat" w:hAnsi="GHEA Grapalat" w:cs="GHEA Grapalat"/>
          <w:sz w:val="22"/>
          <w:szCs w:val="22"/>
          <w:lang w:val="hy-AM"/>
        </w:rPr>
        <w:t xml:space="preserve"> իրար ավելի մոտ են եղել։ Միաժամանակ, եթե մարտ և ապրիլ ամիսներին բանկերի կողմից լրացուցիչ ձեռքբերումները եղել են ԱՄՆ դոլարով, ապա մայիս և հունիս ամիսներին զգալիորեն աճել է ռուսական ռուբլու առքի ծավալը՝ զգալիորեն սկսել</w:t>
      </w:r>
      <w:r w:rsidR="00937294" w:rsidRPr="002915CB">
        <w:rPr>
          <w:rFonts w:ascii="GHEA Grapalat" w:hAnsi="GHEA Grapalat" w:cs="GHEA Grapalat"/>
          <w:sz w:val="22"/>
          <w:szCs w:val="22"/>
          <w:lang w:val="hy-AM"/>
        </w:rPr>
        <w:t>ով գերազանցել վաճառքի ծավալներ</w:t>
      </w:r>
      <w:r w:rsidR="00937294" w:rsidRPr="00FF3485">
        <w:rPr>
          <w:rFonts w:ascii="GHEA Grapalat" w:hAnsi="GHEA Grapalat" w:cs="GHEA Grapalat"/>
          <w:sz w:val="22"/>
          <w:szCs w:val="22"/>
          <w:lang w:val="hy-AM"/>
        </w:rPr>
        <w:t>ը</w:t>
      </w:r>
      <w:r w:rsidRPr="002915CB">
        <w:rPr>
          <w:rFonts w:ascii="GHEA Grapalat" w:hAnsi="GHEA Grapalat" w:cs="GHEA Grapalat"/>
          <w:sz w:val="22"/>
          <w:szCs w:val="22"/>
          <w:lang w:val="hy-AM"/>
        </w:rPr>
        <w:t xml:space="preserve">։ </w:t>
      </w:r>
      <w:r w:rsidR="00937294" w:rsidRPr="002915CB">
        <w:rPr>
          <w:rFonts w:ascii="GHEA Grapalat" w:hAnsi="GHEA Grapalat" w:cs="GHEA Grapalat"/>
          <w:sz w:val="22"/>
          <w:szCs w:val="22"/>
          <w:lang w:val="hy-AM"/>
        </w:rPr>
        <w:t>Նշված զարգացումների պայմաններում ՀՀ ԿԲ-ն արժութային շուկայում իրականացրել է ԱՄՆ դոլարի ձեռքբերումներ:</w:t>
      </w:r>
    </w:p>
    <w:p w:rsidR="00F31924" w:rsidRPr="00FF3485" w:rsidRDefault="00F31924" w:rsidP="00F31924">
      <w:pPr>
        <w:spacing w:line="360" w:lineRule="auto"/>
        <w:ind w:firstLine="567"/>
        <w:jc w:val="both"/>
        <w:rPr>
          <w:rFonts w:ascii="GHEA Grapalat" w:hAnsi="GHEA Grapalat" w:cs="GHEA Grapalat"/>
          <w:sz w:val="22"/>
          <w:szCs w:val="22"/>
          <w:lang w:val="hy-AM"/>
        </w:rPr>
      </w:pPr>
    </w:p>
    <w:p w:rsidR="00180A83" w:rsidRPr="002915CB" w:rsidRDefault="00180A83" w:rsidP="00785E13">
      <w:pPr>
        <w:pStyle w:val="a"/>
        <w:rPr>
          <w:b/>
        </w:rPr>
      </w:pPr>
      <w:r w:rsidRPr="002915CB">
        <w:rPr>
          <w:rStyle w:val="Char0"/>
        </w:rPr>
        <w:t xml:space="preserve">ՀՀ արժութային (ներբանկային) շուկայի շրջանառության </w:t>
      </w:r>
      <w:r w:rsidR="00380573">
        <w:rPr>
          <w:rStyle w:val="Char0"/>
        </w:rPr>
        <w:t>տվյալներ</w:t>
      </w:r>
      <w:r w:rsidR="00380573" w:rsidRPr="00FF3485">
        <w:rPr>
          <w:rStyle w:val="Char0"/>
        </w:rPr>
        <w:t>ն</w:t>
      </w:r>
      <w:r w:rsidRPr="002915CB">
        <w:rPr>
          <w:rStyle w:val="Char0"/>
        </w:rPr>
        <w:t xml:space="preserve"> ըստ դրամային</w:t>
      </w:r>
      <w:r w:rsidRPr="002915CB">
        <w:t xml:space="preserve"> համարժեքների, մլրդ դրամ</w:t>
      </w:r>
      <w:r w:rsidRPr="002915CB">
        <w:rPr>
          <w:vertAlign w:val="superscript"/>
        </w:rPr>
        <w:footnoteReference w:id="24"/>
      </w:r>
    </w:p>
    <w:p w:rsidR="00180A83" w:rsidRPr="002915CB" w:rsidRDefault="00180A83" w:rsidP="00180A83">
      <w:pPr>
        <w:spacing w:line="360" w:lineRule="auto"/>
        <w:jc w:val="both"/>
        <w:rPr>
          <w:rFonts w:ascii="GHEA Grapalat" w:eastAsia="GHEA Grapalat" w:hAnsi="GHEA Grapalat" w:cs="GHEA Grapalat"/>
          <w:b/>
          <w:i/>
          <w:sz w:val="22"/>
          <w:szCs w:val="22"/>
        </w:rPr>
      </w:pPr>
      <w:r w:rsidRPr="002915CB">
        <w:rPr>
          <w:noProof/>
        </w:rPr>
        <w:drawing>
          <wp:inline distT="0" distB="0" distL="0" distR="0" wp14:anchorId="4EC0C251" wp14:editId="53EB7E9B">
            <wp:extent cx="6472361" cy="2544418"/>
            <wp:effectExtent l="0" t="0" r="5080" b="88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0A83" w:rsidRPr="002915CB" w:rsidRDefault="00180A83" w:rsidP="00F31924">
      <w:pPr>
        <w:spacing w:line="360" w:lineRule="auto"/>
        <w:ind w:firstLine="567"/>
        <w:jc w:val="both"/>
        <w:rPr>
          <w:rFonts w:ascii="GHEA Grapalat" w:eastAsia="GHEA Grapalat" w:hAnsi="GHEA Grapalat" w:cs="GHEA Grapalat"/>
          <w:b/>
          <w:sz w:val="22"/>
          <w:szCs w:val="22"/>
        </w:rPr>
      </w:pPr>
    </w:p>
    <w:p w:rsidR="00563135" w:rsidRPr="002915CB" w:rsidRDefault="00563135" w:rsidP="00563135">
      <w:pPr>
        <w:pStyle w:val="Heading6"/>
        <w:ind w:left="567"/>
        <w:rPr>
          <w:rFonts w:ascii="GHEA Grapalat" w:hAnsi="GHEA Grapalat"/>
          <w:b/>
          <w:sz w:val="22"/>
          <w:szCs w:val="22"/>
          <w:u w:val="none"/>
        </w:rPr>
      </w:pPr>
      <w:bookmarkStart w:id="25" w:name="_Toc71311886"/>
      <w:r w:rsidRPr="002915CB">
        <w:rPr>
          <w:rFonts w:ascii="GHEA Grapalat" w:hAnsi="GHEA Grapalat"/>
          <w:b/>
          <w:sz w:val="22"/>
          <w:szCs w:val="22"/>
          <w:u w:val="none"/>
        </w:rPr>
        <w:t>Փոխարժեքներ</w:t>
      </w:r>
      <w:bookmarkEnd w:id="25"/>
    </w:p>
    <w:p w:rsidR="001607A1" w:rsidRPr="002915CB" w:rsidRDefault="00AE25A7" w:rsidP="001607A1">
      <w:pPr>
        <w:spacing w:line="360" w:lineRule="auto"/>
        <w:ind w:firstLine="567"/>
        <w:jc w:val="both"/>
        <w:rPr>
          <w:rFonts w:ascii="GHEA Grapalat" w:hAnsi="GHEA Grapalat" w:cs="GHEA Grapalat"/>
          <w:sz w:val="22"/>
          <w:szCs w:val="22"/>
          <w:lang w:val="hy-AM"/>
        </w:rPr>
      </w:pPr>
      <w:bookmarkStart w:id="26" w:name="_Toc6389323"/>
      <w:bookmarkStart w:id="27" w:name="_Toc37763590"/>
      <w:r w:rsidRPr="002915CB">
        <w:rPr>
          <w:rFonts w:ascii="GHEA Grapalat" w:hAnsi="GHEA Grapalat" w:cs="GHEA Grapalat"/>
          <w:b/>
          <w:i/>
          <w:sz w:val="22"/>
          <w:szCs w:val="22"/>
          <w:lang w:val="hy-AM"/>
        </w:rPr>
        <w:t>Երկկողմանի փոխարժեքներ։</w:t>
      </w:r>
      <w:r w:rsidRPr="002915CB">
        <w:rPr>
          <w:rFonts w:ascii="GHEA Grapalat" w:hAnsi="GHEA Grapalat" w:cs="GHEA Grapalat"/>
          <w:sz w:val="22"/>
          <w:szCs w:val="22"/>
          <w:lang w:val="hy-AM"/>
        </w:rPr>
        <w:t xml:space="preserve"> </w:t>
      </w:r>
      <w:r w:rsidR="001607A1" w:rsidRPr="002915CB">
        <w:rPr>
          <w:rFonts w:ascii="GHEA Grapalat" w:hAnsi="GHEA Grapalat" w:cs="GHEA Grapalat"/>
          <w:sz w:val="22"/>
          <w:szCs w:val="22"/>
          <w:lang w:val="hy-AM"/>
        </w:rPr>
        <w:t>2022 թվականի առաջին կիս</w:t>
      </w:r>
      <w:r w:rsidR="00380573">
        <w:rPr>
          <w:rFonts w:ascii="GHEA Grapalat" w:hAnsi="GHEA Grapalat" w:cs="GHEA Grapalat"/>
          <w:sz w:val="22"/>
          <w:szCs w:val="22"/>
          <w:lang w:val="hy-AM"/>
        </w:rPr>
        <w:t xml:space="preserve">ամյակում ՀՀ դրամը ԱՄՆ դոլարի և </w:t>
      </w:r>
      <w:r w:rsidR="00380573">
        <w:rPr>
          <w:rFonts w:ascii="GHEA Grapalat" w:hAnsi="GHEA Grapalat" w:cs="GHEA Grapalat"/>
          <w:sz w:val="22"/>
          <w:szCs w:val="22"/>
        </w:rPr>
        <w:t>ե</w:t>
      </w:r>
      <w:r w:rsidR="001607A1" w:rsidRPr="002915CB">
        <w:rPr>
          <w:rFonts w:ascii="GHEA Grapalat" w:hAnsi="GHEA Grapalat" w:cs="GHEA Grapalat"/>
          <w:sz w:val="22"/>
          <w:szCs w:val="22"/>
          <w:lang w:val="hy-AM"/>
        </w:rPr>
        <w:t>վրոյի նկատմամբ դրսևորել է արժևորման վարքագիծ` պայմանավորված արտարժույթի նշանակալի ներհոսքով, բացառությամբ</w:t>
      </w:r>
      <w:r w:rsidR="00380573">
        <w:rPr>
          <w:rFonts w:ascii="GHEA Grapalat" w:hAnsi="GHEA Grapalat" w:cs="GHEA Grapalat"/>
          <w:sz w:val="22"/>
          <w:szCs w:val="22"/>
        </w:rPr>
        <w:t>՝</w:t>
      </w:r>
      <w:r w:rsidR="001607A1" w:rsidRPr="002915CB">
        <w:rPr>
          <w:rFonts w:ascii="GHEA Grapalat" w:hAnsi="GHEA Grapalat" w:cs="GHEA Grapalat"/>
          <w:sz w:val="22"/>
          <w:szCs w:val="22"/>
          <w:lang w:val="hy-AM"/>
        </w:rPr>
        <w:t xml:space="preserve"> մարտ ամսի, երբ արձանագրվեց արժեզրկում՝ հիմնականում </w:t>
      </w:r>
      <w:r w:rsidR="001607A1" w:rsidRPr="002915CB">
        <w:rPr>
          <w:rFonts w:ascii="GHEA Grapalat" w:hAnsi="GHEA Grapalat" w:cs="GHEA Grapalat"/>
          <w:sz w:val="22"/>
          <w:szCs w:val="22"/>
          <w:lang w:val="hy-AM"/>
        </w:rPr>
        <w:lastRenderedPageBreak/>
        <w:t>պայմանավորված ռուս-ուկրաինական հակամարտության հետևանքով ռուբլու ժամանակավոր տատանմամբ։</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ԱՄՆ դոլարի, </w:t>
      </w:r>
      <w:r w:rsidR="00380573" w:rsidRPr="00FF3485">
        <w:rPr>
          <w:rFonts w:ascii="GHEA Grapalat" w:hAnsi="GHEA Grapalat" w:cs="GHEA Grapalat"/>
          <w:sz w:val="22"/>
          <w:szCs w:val="22"/>
          <w:lang w:val="hy-AM"/>
        </w:rPr>
        <w:t>ե</w:t>
      </w:r>
      <w:r w:rsidRPr="002915CB">
        <w:rPr>
          <w:rFonts w:ascii="GHEA Grapalat" w:hAnsi="GHEA Grapalat" w:cs="GHEA Grapalat"/>
          <w:sz w:val="22"/>
          <w:szCs w:val="22"/>
          <w:lang w:val="hy-AM"/>
        </w:rPr>
        <w:t>վրոյի և ռուսական ռուբլու նկատմամբ ՀՀ դրամը 2022 թվականի առաջին կիսամյակում արժևորվել է համապատասխանաբար 11.5%</w:t>
      </w:r>
      <w:r w:rsidR="00380573" w:rsidRPr="00FF3485">
        <w:rPr>
          <w:rFonts w:ascii="GHEA Grapalat" w:hAnsi="GHEA Grapalat" w:cs="GHEA Grapalat"/>
          <w:sz w:val="22"/>
          <w:szCs w:val="22"/>
          <w:lang w:val="hy-AM"/>
        </w:rPr>
        <w:t>-ով</w:t>
      </w:r>
      <w:r w:rsidR="00380573">
        <w:rPr>
          <w:rFonts w:ascii="GHEA Grapalat" w:hAnsi="GHEA Grapalat" w:cs="GHEA Grapalat"/>
          <w:sz w:val="22"/>
          <w:szCs w:val="22"/>
          <w:lang w:val="hy-AM"/>
        </w:rPr>
        <w:t>, 22</w:t>
      </w:r>
      <w:r w:rsidR="00380573" w:rsidRPr="00FF3485">
        <w:rPr>
          <w:rFonts w:ascii="GHEA Grapalat" w:hAnsi="GHEA Grapalat" w:cs="GHEA Grapalat"/>
          <w:sz w:val="22"/>
          <w:szCs w:val="22"/>
          <w:lang w:val="hy-AM"/>
        </w:rPr>
        <w:t>.</w:t>
      </w:r>
      <w:r w:rsidRPr="002915CB">
        <w:rPr>
          <w:rFonts w:ascii="GHEA Grapalat" w:hAnsi="GHEA Grapalat" w:cs="GHEA Grapalat"/>
          <w:sz w:val="22"/>
          <w:szCs w:val="22"/>
          <w:lang w:val="hy-AM"/>
        </w:rPr>
        <w:t>6%</w:t>
      </w:r>
      <w:r w:rsidR="00380573" w:rsidRPr="00FF3485">
        <w:rPr>
          <w:rFonts w:ascii="GHEA Grapalat" w:hAnsi="GHEA Grapalat" w:cs="GHEA Grapalat"/>
          <w:sz w:val="22"/>
          <w:szCs w:val="22"/>
          <w:lang w:val="hy-AM"/>
        </w:rPr>
        <w:t>-ով</w:t>
      </w:r>
      <w:r w:rsidRPr="002915CB">
        <w:rPr>
          <w:rFonts w:ascii="GHEA Grapalat" w:hAnsi="GHEA Grapalat" w:cs="GHEA Grapalat"/>
          <w:sz w:val="22"/>
          <w:szCs w:val="22"/>
          <w:lang w:val="hy-AM"/>
        </w:rPr>
        <w:t xml:space="preserve"> և 10.8%-ով։ Տարվա առաջին կիսամյակում ԱՄՆ դոլարի և եվրոյի նկատմամբ ՀՀ դրամը տարեսկզբից մինչև փետրվարի վերջ հարաբերականորեն կայուն վարքագիծ է դրսևորել, որից հետո</w:t>
      </w:r>
      <w:r w:rsidR="00380573">
        <w:rPr>
          <w:rFonts w:ascii="GHEA Grapalat" w:hAnsi="GHEA Grapalat" w:cs="GHEA Grapalat"/>
          <w:sz w:val="22"/>
          <w:szCs w:val="22"/>
          <w:lang w:val="hy-AM"/>
        </w:rPr>
        <w:t xml:space="preserve"> ռուս-ուկրաինական հակամարտությ</w:t>
      </w:r>
      <w:r w:rsidR="00380573" w:rsidRPr="00FF3485">
        <w:rPr>
          <w:rFonts w:ascii="GHEA Grapalat" w:hAnsi="GHEA Grapalat" w:cs="GHEA Grapalat"/>
          <w:sz w:val="22"/>
          <w:szCs w:val="22"/>
          <w:lang w:val="hy-AM"/>
        </w:rPr>
        <w:t>ա</w:t>
      </w:r>
      <w:r w:rsidRPr="002915CB">
        <w:rPr>
          <w:rFonts w:ascii="GHEA Grapalat" w:hAnsi="GHEA Grapalat" w:cs="GHEA Grapalat"/>
          <w:sz w:val="22"/>
          <w:szCs w:val="22"/>
          <w:lang w:val="hy-AM"/>
        </w:rPr>
        <w:t xml:space="preserve">ն և ՌԴ-ի նկատմամաբ կիրառված պատժամիջոցների հետևանքով ձևավորված անորոշություններով պայմանավորված՝ կարճատև արժեզրկվել է մարտ ամսվա առաջին կեսին, այնուհետև կայուն տեմպերով սկսել է արժևորվել՝ արտարժույթի նշանակալի ներհոսքով։ </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Ռուբլու նկատմամբ դրամը դրսևորել է հայելային պատկեր․ տարեսկզբից կայուն վարքագիծ է նկատվել, այնուհետև փետրվարի վերջին տասնօրյակից մինչև մարտի երկրորդ տասնօրյակը կտրուկ տեմպերով արժևորվել է՝ միջազգային շուկայում ռուսական ռուբլու դիրքի թուլացմամբ պայմանավորված:</w:t>
      </w:r>
    </w:p>
    <w:p w:rsidR="001607A1" w:rsidRPr="00FF3485"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Արդյունավետ փոխարժեքներ:</w:t>
      </w:r>
      <w:r w:rsidRPr="002915CB">
        <w:rPr>
          <w:rFonts w:ascii="GHEA Grapalat" w:hAnsi="GHEA Grapalat" w:cs="GHEA Grapalat"/>
          <w:sz w:val="22"/>
          <w:szCs w:val="22"/>
          <w:lang w:val="hy-AM"/>
        </w:rPr>
        <w:t xml:space="preserve"> ՀՀ արտաքին առևտրի տեսանկյունից առավել կարևոր արժույթներից բաղկացած զամբյուղի նկատմամբ ՀՀ ազգային արժույթն անվանական արտահայտությամբ 2022 թվականի առաջին կիսամյակում արժևորվել է 22%-ով, իսկ իրական արտահայտությամբ՝ </w:t>
      </w:r>
      <w:r w:rsidR="00380573">
        <w:rPr>
          <w:rFonts w:ascii="GHEA Grapalat" w:hAnsi="GHEA Grapalat" w:cs="GHEA Grapalat"/>
          <w:sz w:val="22"/>
          <w:szCs w:val="22"/>
          <w:lang w:val="hy-AM"/>
        </w:rPr>
        <w:t>18.2%-ով, ինչ</w:t>
      </w:r>
      <w:r w:rsidR="00380573" w:rsidRPr="00FF3485">
        <w:rPr>
          <w:rFonts w:ascii="GHEA Grapalat" w:hAnsi="GHEA Grapalat" w:cs="GHEA Grapalat"/>
          <w:sz w:val="22"/>
          <w:szCs w:val="22"/>
          <w:lang w:val="hy-AM"/>
        </w:rPr>
        <w:t>ն</w:t>
      </w:r>
      <w:r w:rsidRPr="002915CB">
        <w:rPr>
          <w:rFonts w:ascii="GHEA Grapalat" w:hAnsi="GHEA Grapalat" w:cs="GHEA Grapalat"/>
          <w:sz w:val="22"/>
          <w:szCs w:val="22"/>
          <w:lang w:val="hy-AM"/>
        </w:rPr>
        <w:t xml:space="preserve"> իր բացասական ազդեցությունն է թողել</w:t>
      </w:r>
      <w:r w:rsidRPr="002915CB" w:rsidDel="00A327AB">
        <w:rPr>
          <w:rFonts w:ascii="GHEA Grapalat" w:hAnsi="GHEA Grapalat" w:cs="GHEA Grapalat"/>
          <w:sz w:val="22"/>
          <w:szCs w:val="22"/>
          <w:lang w:val="hy-AM"/>
        </w:rPr>
        <w:t xml:space="preserve"> </w:t>
      </w:r>
      <w:r w:rsidRPr="002915CB">
        <w:rPr>
          <w:rFonts w:ascii="GHEA Grapalat" w:hAnsi="GHEA Grapalat" w:cs="GHEA Grapalat"/>
          <w:sz w:val="22"/>
          <w:szCs w:val="22"/>
          <w:lang w:val="hy-AM"/>
        </w:rPr>
        <w:t>առևտրային հաշվեկշռի վրա։</w:t>
      </w:r>
    </w:p>
    <w:p w:rsidR="001607A1" w:rsidRPr="00FF3485" w:rsidRDefault="001607A1" w:rsidP="001607A1">
      <w:pPr>
        <w:spacing w:line="360" w:lineRule="auto"/>
        <w:ind w:firstLine="567"/>
        <w:jc w:val="both"/>
        <w:rPr>
          <w:rFonts w:ascii="GHEA Grapalat" w:hAnsi="GHEA Grapalat" w:cs="GHEA Grapalat"/>
          <w:sz w:val="22"/>
          <w:szCs w:val="22"/>
          <w:lang w:val="hy-AM"/>
        </w:rPr>
      </w:pPr>
    </w:p>
    <w:tbl>
      <w:tblPr>
        <w:tblStyle w:val="TableGrid912"/>
        <w:tblW w:w="10319" w:type="dxa"/>
        <w:tblInd w:w="-5" w:type="dxa"/>
        <w:tblLayout w:type="fixed"/>
        <w:tblLook w:val="04A0" w:firstRow="1" w:lastRow="0" w:firstColumn="1" w:lastColumn="0" w:noHBand="0" w:noVBand="1"/>
      </w:tblPr>
      <w:tblGrid>
        <w:gridCol w:w="5140"/>
        <w:gridCol w:w="5179"/>
      </w:tblGrid>
      <w:tr w:rsidR="00F31924" w:rsidRPr="003019E2" w:rsidTr="00266679">
        <w:trPr>
          <w:trHeight w:val="5518"/>
        </w:trPr>
        <w:tc>
          <w:tcPr>
            <w:tcW w:w="5140" w:type="dxa"/>
          </w:tcPr>
          <w:p w:rsidR="00F31924" w:rsidRPr="002915CB" w:rsidRDefault="00F31924" w:rsidP="00785E13">
            <w:pPr>
              <w:pStyle w:val="a"/>
            </w:pPr>
            <w:r w:rsidRPr="002915CB">
              <w:lastRenderedPageBreak/>
              <w:t>ՀՀ դրամի անվանական փոխարժեքի օրական դինամիկան հիմնական արժույթների նկատմամբ (աճ՝ դրամի արժևորում)</w:t>
            </w:r>
          </w:p>
          <w:p w:rsidR="00F31924" w:rsidRPr="002915CB" w:rsidRDefault="00266679" w:rsidP="007A2730">
            <w:pPr>
              <w:tabs>
                <w:tab w:val="left" w:pos="1425"/>
              </w:tabs>
              <w:rPr>
                <w:lang w:val="hy-AM"/>
              </w:rPr>
            </w:pPr>
            <w:r w:rsidRPr="002915CB">
              <w:rPr>
                <w:noProof/>
              </w:rPr>
              <w:drawing>
                <wp:anchor distT="0" distB="0" distL="114300" distR="114300" simplePos="0" relativeHeight="251667456" behindDoc="1" locked="0" layoutInCell="1" allowOverlap="1" wp14:anchorId="0C64F0B4" wp14:editId="1772EE8D">
                  <wp:simplePos x="0" y="0"/>
                  <wp:positionH relativeFrom="margin">
                    <wp:posOffset>14605</wp:posOffset>
                  </wp:positionH>
                  <wp:positionV relativeFrom="paragraph">
                    <wp:posOffset>139065</wp:posOffset>
                  </wp:positionV>
                  <wp:extent cx="3076575" cy="2409190"/>
                  <wp:effectExtent l="0" t="0" r="0" b="0"/>
                  <wp:wrapTight wrapText="bothSides">
                    <wp:wrapPolygon edited="0">
                      <wp:start x="0" y="0"/>
                      <wp:lineTo x="0" y="21520"/>
                      <wp:lineTo x="21533" y="21520"/>
                      <wp:lineTo x="21533"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31924" w:rsidRPr="002915CB">
              <w:rPr>
                <w:rFonts w:ascii="GHEA Grapalat" w:hAnsi="GHEA Grapalat" w:cs="Sylfaen"/>
                <w:i/>
                <w:sz w:val="18"/>
                <w:szCs w:val="18"/>
                <w:lang w:val="hy-AM"/>
              </w:rPr>
              <w:t>Աղբյուրը՝ ՀՀ ԿԲ, ՀՀ ՖՆ հաշվարկներ</w:t>
            </w:r>
          </w:p>
        </w:tc>
        <w:tc>
          <w:tcPr>
            <w:tcW w:w="5179" w:type="dxa"/>
          </w:tcPr>
          <w:p w:rsidR="00F31924" w:rsidRPr="002915CB" w:rsidRDefault="00F31924" w:rsidP="00785E13">
            <w:pPr>
              <w:pStyle w:val="a"/>
            </w:pPr>
            <w:r w:rsidRPr="002915CB">
              <w:t>ՀՀ իրական և անվանա</w:t>
            </w:r>
            <w:r w:rsidR="00380573" w:rsidRPr="00FF3485">
              <w:t>-</w:t>
            </w:r>
            <w:r w:rsidRPr="002915CB">
              <w:t xml:space="preserve">կան արդյունավետ փոխարժեքների կուտակային տ/տ աճերի դինամիկան (աճ՝ արժևորում) </w:t>
            </w:r>
          </w:p>
          <w:p w:rsidR="00F31924" w:rsidRPr="002915CB" w:rsidRDefault="00266679" w:rsidP="007A2730">
            <w:pPr>
              <w:spacing w:line="276" w:lineRule="auto"/>
              <w:ind w:right="-268"/>
              <w:jc w:val="both"/>
              <w:rPr>
                <w:rFonts w:ascii="GHEA Grapalat" w:hAnsi="GHEA Grapalat" w:cs="Sylfaen"/>
                <w:sz w:val="16"/>
                <w:szCs w:val="16"/>
                <w:lang w:val="hy-AM"/>
              </w:rPr>
            </w:pPr>
            <w:r w:rsidRPr="002915CB">
              <w:rPr>
                <w:rStyle w:val="Char0"/>
                <w:b/>
                <w:lang w:val="en-US"/>
              </w:rPr>
              <w:drawing>
                <wp:anchor distT="0" distB="0" distL="114300" distR="114300" simplePos="0" relativeHeight="251668480" behindDoc="1" locked="0" layoutInCell="1" allowOverlap="1" wp14:anchorId="2F3663CD" wp14:editId="549F7B60">
                  <wp:simplePos x="0" y="0"/>
                  <wp:positionH relativeFrom="column">
                    <wp:posOffset>18415</wp:posOffset>
                  </wp:positionH>
                  <wp:positionV relativeFrom="paragraph">
                    <wp:posOffset>139065</wp:posOffset>
                  </wp:positionV>
                  <wp:extent cx="3148330" cy="2409190"/>
                  <wp:effectExtent l="0" t="0" r="0" b="0"/>
                  <wp:wrapTight wrapText="bothSides">
                    <wp:wrapPolygon edited="0">
                      <wp:start x="0" y="0"/>
                      <wp:lineTo x="0" y="21520"/>
                      <wp:lineTo x="21565" y="21520"/>
                      <wp:lineTo x="21565"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31924" w:rsidRPr="002915CB">
              <w:rPr>
                <w:rFonts w:ascii="GHEA Grapalat" w:hAnsi="GHEA Grapalat" w:cs="Sylfaen"/>
                <w:i/>
                <w:sz w:val="18"/>
                <w:szCs w:val="18"/>
                <w:lang w:val="hy-AM"/>
              </w:rPr>
              <w:t>Աղբյուրը՝ ՀՀ ԿԲ, ՀՀ ՖՆ հաշվարկներ</w:t>
            </w:r>
          </w:p>
        </w:tc>
      </w:tr>
    </w:tbl>
    <w:p w:rsidR="00AE6DFB" w:rsidRPr="002915CB" w:rsidRDefault="00AE6DFB" w:rsidP="00AE6DFB">
      <w:pPr>
        <w:spacing w:line="360" w:lineRule="auto"/>
        <w:ind w:firstLine="567"/>
        <w:jc w:val="both"/>
        <w:rPr>
          <w:rFonts w:ascii="GHEA Grapalat" w:hAnsi="GHEA Grapalat" w:cs="GHEA Grapalat"/>
          <w:sz w:val="22"/>
          <w:szCs w:val="22"/>
          <w:lang w:val="hy-AM"/>
        </w:rPr>
      </w:pPr>
    </w:p>
    <w:bookmarkEnd w:id="26"/>
    <w:bookmarkEnd w:id="27"/>
    <w:p w:rsidR="00785E13" w:rsidRPr="002915CB" w:rsidRDefault="00785E13" w:rsidP="00C320C6">
      <w:pPr>
        <w:spacing w:line="360" w:lineRule="auto"/>
        <w:ind w:firstLine="567"/>
        <w:jc w:val="both"/>
        <w:rPr>
          <w:rFonts w:ascii="GHEA Grapalat" w:hAnsi="GHEA Grapalat" w:cs="GHEA Grapalat"/>
          <w:sz w:val="22"/>
          <w:szCs w:val="22"/>
          <w:lang w:val="hy-AM"/>
        </w:rPr>
      </w:pPr>
    </w:p>
    <w:p w:rsidR="00785E13" w:rsidRPr="002915CB" w:rsidRDefault="00785E13" w:rsidP="00785E13">
      <w:pPr>
        <w:pStyle w:val="Heading6"/>
        <w:ind w:left="567"/>
        <w:rPr>
          <w:rFonts w:ascii="GHEA Grapalat" w:hAnsi="GHEA Grapalat"/>
          <w:b/>
          <w:sz w:val="22"/>
          <w:szCs w:val="22"/>
          <w:u w:val="none"/>
        </w:rPr>
      </w:pPr>
      <w:r w:rsidRPr="002915CB">
        <w:rPr>
          <w:rFonts w:ascii="GHEA Grapalat" w:hAnsi="GHEA Grapalat"/>
          <w:b/>
          <w:sz w:val="22"/>
          <w:szCs w:val="22"/>
          <w:u w:val="none"/>
        </w:rPr>
        <w:t>Ֆինանսական շուկաներ</w:t>
      </w:r>
      <w:r w:rsidRPr="002915CB">
        <w:rPr>
          <w:rFonts w:ascii="GHEA Grapalat" w:hAnsi="GHEA Grapalat"/>
          <w:b/>
          <w:sz w:val="22"/>
          <w:szCs w:val="22"/>
          <w:u w:val="none"/>
          <w:vertAlign w:val="superscript"/>
        </w:rPr>
        <w:footnoteReference w:id="25"/>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Վարկեր և ավանդներ:</w:t>
      </w:r>
      <w:r w:rsidRPr="002915CB">
        <w:rPr>
          <w:rFonts w:ascii="GHEA Grapalat" w:hAnsi="GHEA Grapalat" w:cs="GHEA Grapalat"/>
          <w:sz w:val="22"/>
          <w:szCs w:val="22"/>
          <w:lang w:val="hy-AM"/>
        </w:rPr>
        <w:t xml:space="preserve"> 2021</w:t>
      </w:r>
      <w:r w:rsidR="00380573" w:rsidRPr="00FF3485">
        <w:rPr>
          <w:rFonts w:ascii="GHEA Grapalat" w:hAnsi="GHEA Grapalat" w:cs="GHEA Grapalat"/>
          <w:sz w:val="22"/>
          <w:szCs w:val="22"/>
          <w:lang w:val="hy-AM"/>
        </w:rPr>
        <w:t xml:space="preserve"> </w:t>
      </w:r>
      <w:r w:rsidRPr="002915CB">
        <w:rPr>
          <w:rFonts w:ascii="GHEA Grapalat" w:hAnsi="GHEA Grapalat" w:cs="GHEA Grapalat"/>
          <w:sz w:val="22"/>
          <w:szCs w:val="22"/>
          <w:lang w:val="hy-AM"/>
        </w:rPr>
        <w:t>թ</w:t>
      </w:r>
      <w:r w:rsidR="00380573" w:rsidRPr="00FF3485">
        <w:rPr>
          <w:rFonts w:ascii="GHEA Grapalat" w:hAnsi="GHEA Grapalat" w:cs="GHEA Grapalat"/>
          <w:sz w:val="22"/>
          <w:szCs w:val="22"/>
          <w:lang w:val="hy-AM"/>
        </w:rPr>
        <w:t>վական</w:t>
      </w:r>
      <w:r w:rsidRPr="002915CB">
        <w:rPr>
          <w:rFonts w:ascii="GHEA Grapalat" w:hAnsi="GHEA Grapalat" w:cs="GHEA Grapalat"/>
          <w:sz w:val="22"/>
          <w:szCs w:val="22"/>
          <w:lang w:val="hy-AM"/>
        </w:rPr>
        <w:t>ին գրանցված անկումից հետո 2022</w:t>
      </w:r>
      <w:r w:rsidR="00380573" w:rsidRPr="00FF3485">
        <w:rPr>
          <w:rFonts w:ascii="GHEA Grapalat" w:hAnsi="GHEA Grapalat" w:cs="GHEA Grapalat"/>
          <w:sz w:val="22"/>
          <w:szCs w:val="22"/>
          <w:lang w:val="hy-AM"/>
        </w:rPr>
        <w:t xml:space="preserve"> </w:t>
      </w:r>
      <w:r w:rsidR="00380573">
        <w:rPr>
          <w:rFonts w:ascii="GHEA Grapalat" w:hAnsi="GHEA Grapalat" w:cs="GHEA Grapalat"/>
          <w:sz w:val="22"/>
          <w:szCs w:val="22"/>
          <w:lang w:val="hy-AM"/>
        </w:rPr>
        <w:t>թ</w:t>
      </w:r>
      <w:r w:rsidR="00380573" w:rsidRPr="00FF3485">
        <w:rPr>
          <w:rFonts w:ascii="GHEA Grapalat" w:hAnsi="GHEA Grapalat" w:cs="GHEA Grapalat"/>
          <w:sz w:val="22"/>
          <w:szCs w:val="22"/>
          <w:lang w:val="hy-AM"/>
        </w:rPr>
        <w:t>վական</w:t>
      </w:r>
      <w:r w:rsidRPr="002915CB">
        <w:rPr>
          <w:rFonts w:ascii="GHEA Grapalat" w:hAnsi="GHEA Grapalat" w:cs="GHEA Grapalat"/>
          <w:sz w:val="22"/>
          <w:szCs w:val="22"/>
          <w:lang w:val="hy-AM"/>
        </w:rPr>
        <w:t>ի առաջին կիսամյակում վարկերի ծավալները սկսել են աճել՝ չնայած որ ԱՄՆ դոլարի նկատմամբ դրամի արժևորումը դրամային արտահայտությամբ նվազեցրել է արտարժութային վարկերի աճի տեմպը։ 2022 թվականի հունիսին առևտրային բանկերի կողմից ռեզիդենտներին տրամադրված վարկերի ծավալների աճը կազմել է 1.9%</w:t>
      </w:r>
      <w:r w:rsidRPr="002915CB">
        <w:rPr>
          <w:rFonts w:ascii="GHEA Grapalat" w:hAnsi="GHEA Grapalat" w:cs="GHEA Grapalat"/>
          <w:sz w:val="22"/>
          <w:szCs w:val="22"/>
          <w:vertAlign w:val="superscript"/>
          <w:lang w:val="hy-AM"/>
        </w:rPr>
        <w:footnoteReference w:id="26"/>
      </w:r>
      <w:r w:rsidRPr="002915CB">
        <w:rPr>
          <w:rFonts w:ascii="GHEA Grapalat" w:hAnsi="GHEA Grapalat" w:cs="GHEA Grapalat"/>
          <w:sz w:val="22"/>
          <w:szCs w:val="22"/>
          <w:lang w:val="hy-AM"/>
        </w:rPr>
        <w:t>՝ 2021 թվականի հունիսին արձանագրված 2.2% աճի համեմատ: Վարկերի աճին 8.7 տոկոսային կետով նպաստել է դրամային վարկերի աճը, իսկ արտարժութային վարկերն ունեցել են բացասական նպաստում՝ 6</w:t>
      </w:r>
      <w:r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7 տոկոսային կետով (արտարժութային վարկերը դրամային արտահայտությամբ նվազել են 14.5%-ով՝ հիմնականում պայմանավորված ԱՄՆ դոլարի նկատմամբ դրամի արժեզրկմամբ): </w:t>
      </w:r>
    </w:p>
    <w:p w:rsidR="00785E13" w:rsidRPr="00FF3485"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Վարկերի աճը հիմնականում պայմանավորվել է </w:t>
      </w:r>
      <w:r w:rsidR="008F3497">
        <w:rPr>
          <w:rFonts w:ascii="GHEA Grapalat" w:hAnsi="GHEA Grapalat" w:cs="GHEA Grapalat"/>
          <w:sz w:val="22"/>
          <w:szCs w:val="22"/>
          <w:lang w:val="hy-AM"/>
        </w:rPr>
        <w:t>հիպոտեկ</w:t>
      </w:r>
      <w:r w:rsidRPr="002915CB">
        <w:rPr>
          <w:rFonts w:ascii="GHEA Grapalat" w:hAnsi="GHEA Grapalat" w:cs="GHEA Grapalat"/>
          <w:sz w:val="22"/>
          <w:szCs w:val="22"/>
          <w:lang w:val="hy-AM"/>
        </w:rPr>
        <w:t xml:space="preserve">ային (աճը՝ 30.9 տոկոս, նպաստումը՝ 4.8 տոկոսային կետ), շինարության (աճը՝ 9.2 տոկոս, նպաստումը՝ 0.7 տոկոսային կետ) և գյուղատնտեսության (աճը՝ 6 տոկոս, նպաստումը՝ 1 տոկոսային կետ) ոլորտների վարկերով, իսկ արդյունաբերության, սպառողական, սպասարկման ոլորտի, տրանսպորտի և կապի, առևտրի ոլորտի </w:t>
      </w:r>
      <w:r w:rsidRPr="002915CB">
        <w:rPr>
          <w:rFonts w:ascii="GHEA Grapalat" w:hAnsi="GHEA Grapalat" w:cs="GHEA Grapalat"/>
          <w:sz w:val="22"/>
          <w:szCs w:val="22"/>
          <w:lang w:val="hy-AM"/>
        </w:rPr>
        <w:lastRenderedPageBreak/>
        <w:t>վարկերը բացասական նպաստում են ունեցել</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(համապատասխանաբար 1.3, 1.2, 1, 0.8 և 0.8 տոկոսային կետով):</w:t>
      </w:r>
    </w:p>
    <w:p w:rsidR="00785E13" w:rsidRPr="00FF3485" w:rsidRDefault="00785E13" w:rsidP="00785E13">
      <w:pPr>
        <w:spacing w:line="360" w:lineRule="auto"/>
        <w:ind w:firstLine="567"/>
        <w:jc w:val="both"/>
        <w:rPr>
          <w:rFonts w:ascii="GHEA Grapalat" w:hAnsi="GHEA Grapalat" w:cs="GHEA Grapalat"/>
          <w:sz w:val="22"/>
          <w:szCs w:val="22"/>
          <w:lang w:val="hy-AM"/>
        </w:rPr>
      </w:pPr>
    </w:p>
    <w:p w:rsidR="00785E13" w:rsidRPr="002915CB" w:rsidRDefault="00785E13" w:rsidP="00785E13">
      <w:pPr>
        <w:pStyle w:val="a"/>
      </w:pPr>
      <w:r w:rsidRPr="002915CB">
        <w:t>Ռեզիդենտների վարկերի և ավանդների ծավալների աճը (նախորդ տարվա նկատմամբ, %)</w:t>
      </w:r>
      <w:r w:rsidRPr="002915CB">
        <w:rPr>
          <w:vertAlign w:val="superscript"/>
        </w:rPr>
        <w:footnoteReference w:id="27"/>
      </w:r>
    </w:p>
    <w:p w:rsidR="00785E13" w:rsidRPr="002915CB" w:rsidRDefault="00785E13" w:rsidP="00785E13">
      <w:pPr>
        <w:spacing w:line="360" w:lineRule="auto"/>
        <w:jc w:val="both"/>
        <w:rPr>
          <w:rFonts w:ascii="GHEA Grapalat" w:eastAsia="Calibri" w:hAnsi="GHEA Grapalat" w:cs="Sylfaen"/>
          <w:sz w:val="22"/>
          <w:szCs w:val="22"/>
        </w:rPr>
      </w:pPr>
      <w:r w:rsidRPr="002915CB">
        <w:rPr>
          <w:rFonts w:ascii="GHEA Grapalat" w:hAnsi="GHEA Grapalat"/>
          <w:noProof/>
          <w:sz w:val="28"/>
        </w:rPr>
        <w:drawing>
          <wp:inline distT="0" distB="0" distL="0" distR="0" wp14:anchorId="054CEBCB" wp14:editId="72FE7D05">
            <wp:extent cx="3156668" cy="2878372"/>
            <wp:effectExtent l="57150" t="0" r="43815" b="9398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915CB">
        <w:rPr>
          <w:rFonts w:ascii="GHEA Grapalat" w:hAnsi="GHEA Grapalat"/>
          <w:noProof/>
          <w:sz w:val="28"/>
        </w:rPr>
        <w:drawing>
          <wp:inline distT="0" distB="0" distL="0" distR="0" wp14:anchorId="280F2473" wp14:editId="67F61E86">
            <wp:extent cx="3108960" cy="2870421"/>
            <wp:effectExtent l="57150" t="0" r="34290" b="10160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4FC3" w:rsidRPr="002915CB" w:rsidRDefault="00F24FC3" w:rsidP="00785E13">
      <w:pPr>
        <w:spacing w:line="360" w:lineRule="auto"/>
        <w:ind w:firstLine="567"/>
        <w:jc w:val="both"/>
        <w:rPr>
          <w:rFonts w:ascii="GHEA Grapalat" w:hAnsi="GHEA Grapalat" w:cs="GHEA Grapalat"/>
          <w:sz w:val="22"/>
          <w:szCs w:val="22"/>
        </w:rPr>
      </w:pP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ավանդների ծավալների աճի տեմպը նախորդ տարվա նույն ժամանակահատվածի նկատմամբ շարունակել է աճել բարձր տեմպերով, թեպետ աճի տեմպը</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դանդաղել է</w:t>
      </w:r>
      <w:r w:rsidR="00380573">
        <w:rPr>
          <w:rFonts w:ascii="GHEA Grapalat" w:hAnsi="GHEA Grapalat" w:cs="GHEA Grapalat"/>
          <w:sz w:val="22"/>
          <w:szCs w:val="22"/>
        </w:rPr>
        <w:t>՝</w:t>
      </w:r>
      <w:r w:rsidRPr="002915CB">
        <w:rPr>
          <w:rFonts w:ascii="GHEA Grapalat" w:hAnsi="GHEA Grapalat" w:cs="GHEA Grapalat"/>
          <w:sz w:val="22"/>
          <w:szCs w:val="22"/>
          <w:lang w:val="hy-AM"/>
        </w:rPr>
        <w:t xml:space="preserve"> պայմանավորված ԱՄՆ դոլարի նկատմամբ դրամի արժևորման գործոնով։ Առևտրային բանկերի կողմից ռեզիդենտներից ներգրավված ավանդներն աճել են 10.3%</w:t>
      </w:r>
      <w:r w:rsidRPr="002915CB">
        <w:rPr>
          <w:rFonts w:ascii="GHEA Grapalat" w:hAnsi="GHEA Grapalat" w:cs="GHEA Grapalat"/>
          <w:sz w:val="22"/>
          <w:szCs w:val="22"/>
          <w:lang w:val="hy-AM"/>
        </w:rPr>
        <w:noBreakHyphen/>
        <w:t>ով, որին նպաստել են ինչպես տնային տնտեսությունների, այնպես էլ ձեռնարկությունների ավանդների աճը՝ համապատասխանաբար 4.5 և 2.3 տոկոսային կետով։ Արժութային կառուցվածքի տեսակետից 6.9 տոկոսային կետով դրական նպաստում է ունեցել դրամային ավանդների աճը, իսկ արտարժութային ավանդների նպաստումը կազմել է 3.4 տոկոսային կետ:</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կիսամյակում դոլարայնացման մակարդակը նվազել է՝ հիմնականում պայմանավորված ԱՄՆ դոլարի նկատմամբ ՀՀ դրամի արժևորմամբ: Ռեզիդենտների արտարժութային ավանդներ/ընդամենը ավանդներ հարաբերակցությունը նախորդ տարվա համեմատ նվազել է 0.9 տոկոսային կետով՝ կազմելով 41.8%, իսկ ռեզիդենտների վարկավորման ընդհանուր կառուցվածքում արտարժույթով վարկերի կշիռը նվազել է 7.5 տոկոսային կետով՝ </w:t>
      </w:r>
      <w:r w:rsidRPr="002915CB">
        <w:rPr>
          <w:rFonts w:ascii="GHEA Grapalat" w:hAnsi="GHEA Grapalat" w:cs="GHEA Grapalat"/>
          <w:sz w:val="22"/>
          <w:szCs w:val="22"/>
          <w:lang w:val="hy-AM"/>
        </w:rPr>
        <w:lastRenderedPageBreak/>
        <w:t>կազմելով 39%։ Առանց դրամի արժևորման</w:t>
      </w:r>
      <w:r w:rsidR="00380573"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ավանդների դոլարայնացումը կաճեր 3.4</w:t>
      </w:r>
      <w:r w:rsidRPr="00FF3485">
        <w:rPr>
          <w:rFonts w:ascii="GHEA Grapalat" w:hAnsi="GHEA Grapalat" w:cs="GHEA Grapalat"/>
          <w:sz w:val="22"/>
          <w:szCs w:val="22"/>
          <w:lang w:val="hy-AM"/>
        </w:rPr>
        <w:t xml:space="preserve"> տոկոս</w:t>
      </w:r>
      <w:r w:rsidRPr="002915CB">
        <w:rPr>
          <w:rFonts w:ascii="GHEA Grapalat" w:hAnsi="GHEA Grapalat" w:cs="GHEA Grapalat"/>
          <w:sz w:val="22"/>
          <w:szCs w:val="22"/>
          <w:lang w:val="hy-AM"/>
        </w:rPr>
        <w:t>ային կետով, իսկ վարկերի դոլարայնացումը կնվազեր 3.3%</w:t>
      </w:r>
      <w:r w:rsidRPr="00FF3485">
        <w:rPr>
          <w:rFonts w:ascii="GHEA Grapalat" w:hAnsi="GHEA Grapalat" w:cs="GHEA Grapalat"/>
          <w:sz w:val="22"/>
          <w:szCs w:val="22"/>
          <w:lang w:val="hy-AM"/>
        </w:rPr>
        <w:t xml:space="preserve"> տոկոս</w:t>
      </w:r>
      <w:r w:rsidRPr="002915CB">
        <w:rPr>
          <w:rFonts w:ascii="GHEA Grapalat" w:hAnsi="GHEA Grapalat" w:cs="GHEA Grapalat"/>
          <w:sz w:val="22"/>
          <w:szCs w:val="22"/>
          <w:lang w:val="hy-AM"/>
        </w:rPr>
        <w:t>ային կետով</w:t>
      </w:r>
      <w:r w:rsidRPr="002915CB">
        <w:rPr>
          <w:rFonts w:ascii="GHEA Grapalat" w:hAnsi="GHEA Grapalat" w:cs="GHEA Grapalat"/>
          <w:sz w:val="22"/>
          <w:szCs w:val="22"/>
          <w:vertAlign w:val="superscript"/>
          <w:lang w:val="hy-AM"/>
        </w:rPr>
        <w:footnoteReference w:id="28"/>
      </w:r>
      <w:r w:rsidRPr="002915CB">
        <w:rPr>
          <w:rFonts w:ascii="GHEA Grapalat" w:hAnsi="GHEA Grapalat" w:cs="GHEA Grapalat"/>
          <w:sz w:val="22"/>
          <w:szCs w:val="22"/>
          <w:lang w:val="hy-AM"/>
        </w:rPr>
        <w:t xml:space="preserve">։ </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Վարկերի և ավանդների տոկոսադրույքներ:</w:t>
      </w:r>
      <w:r w:rsidRPr="002915CB">
        <w:rPr>
          <w:rFonts w:ascii="GHEA Grapalat" w:hAnsi="GHEA Grapalat" w:cs="GHEA Grapalat"/>
          <w:sz w:val="22"/>
          <w:szCs w:val="22"/>
          <w:lang w:val="hy-AM"/>
        </w:rPr>
        <w:t xml:space="preserve"> 2022 թվականի առաջին կիսամյակոմ ՀՀ դրամով վարկ</w:t>
      </w:r>
      <w:r w:rsidR="00380573">
        <w:rPr>
          <w:rFonts w:ascii="GHEA Grapalat" w:hAnsi="GHEA Grapalat" w:cs="GHEA Grapalat"/>
          <w:sz w:val="22"/>
          <w:szCs w:val="22"/>
          <w:lang w:val="hy-AM"/>
        </w:rPr>
        <w:t>երի և ավանդների տոկոսադրույքներ</w:t>
      </w:r>
      <w:r w:rsidR="00380573" w:rsidRPr="00FF3485">
        <w:rPr>
          <w:rFonts w:ascii="GHEA Grapalat" w:hAnsi="GHEA Grapalat" w:cs="GHEA Grapalat"/>
          <w:sz w:val="22"/>
          <w:szCs w:val="22"/>
          <w:lang w:val="hy-AM"/>
        </w:rPr>
        <w:t>ն</w:t>
      </w:r>
      <w:r w:rsidRPr="002915CB">
        <w:rPr>
          <w:rFonts w:ascii="GHEA Grapalat" w:hAnsi="GHEA Grapalat" w:cs="GHEA Grapalat"/>
          <w:sz w:val="22"/>
          <w:szCs w:val="22"/>
          <w:lang w:val="hy-AM"/>
        </w:rPr>
        <w:t xml:space="preserve"> աճի միտում են դրսևորել: Տոկոսադրույքների աճին նպաստել են գնաճի և գնաճային սպասումների ավելացումը, ԿԲ-ի կողմից դրամավարկային պայմանների կոշտացումը (վերջին 12 ամիսների ընթացքում վերաֆինանսավորման տոկոսադրույքը բարձրացել է 3.75 տոկոսային կետով), ինչպես նաև տարածաշրջանի և ՀՀ երկրի ռիսկի հավելավճարի դեպի վեր ճշգրտումը: 2022 թվականի հունվար-հունիսին ՀՀ դրամով վարկավորման (մինչև մեկ տարի ժամկետով) միջին տարեկան տոկոսադրույքը կազմել է 11.9%՝ նախորդ տարվա նկատմամբ աճելով 0.3 տոկոսային կետով: ՀՀ դրամային ավանդների (մինչև մեկ տարի ժամկետով) միջին տոկոսադրույքը կազմել է 8.7%՝ նախորդ տարվա համեմատ աճելով 0.6 տոկոսային կետով: </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Արտարժույթով ավանդների (մինչև մեկ տարի ժամկետով) միջին տարեկան տոկոսադրույքը 2022 թվականի հունվար-հունիսին կազմել է 2%՝ նախորդ տարվա նույն ժամանակահատվածի նկատմամբ աճելով 0.4 տոկոսային կետով: Իսկ արտարժույթով վարկավորման (մինչև մեկ տարի ժամկետով) միջին տոկոսադրույքը անփոփոխ է մնացել՝ 7.8%: </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Ֆինանսական շուկայում արտարժույթով և դրամով միջին կշռված մինչև 1 տարի ժամկետով տոկոսադրույքների միջև միջին սպրեդը 2022 թվականի առաջին կիսամյակում նախորդ համադրելի ժամանակահատվածի նկատմամբ նվազել է 0.3 տոկոսային կետով` կազմելով 4.7: Դրամով վարկերի և ավանդների միջև տոկոսադրույքների սպրեդը նվազել է 0.2 տոկոսային կետով՝ մինչև 3.2 տոկոսային կետ, իսկ արտարժույթով վարկերի և ավանդների սպրեդը՝ 0.4 տոկոսային կետով` կազմելով 5.8 տոկոսային կետ:</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ՀՀ պետական պարտատոմսերի շուկա:</w:t>
      </w:r>
      <w:r w:rsidRPr="002915CB">
        <w:rPr>
          <w:rFonts w:ascii="GHEA Grapalat" w:hAnsi="GHEA Grapalat" w:cs="GHEA Grapalat"/>
          <w:sz w:val="22"/>
          <w:szCs w:val="22"/>
          <w:lang w:val="hy-AM"/>
        </w:rPr>
        <w:t xml:space="preserve"> 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ավելացմամբ, ՀՀ ԿԲ կողմից վերաֆինանսավորման տոկոսադրույքի, ինչպես նաև մարտ ամսին ռուս-ուկրաինական հակամարտությունից բխող ռազմաքաղաքական և տնտեսական ճգնաժամով պայմանավորված՝ տարածաշրջանի և ՀՀ երկրի ռիսկի հավելավճարի ճշգրտմամբ: Եթե 2021 թվականի առաջին կիսամյակում տեղաբաշխված պետական պարտատոմսերի միջին կշռված եկամտաբերությունը կազմել էր 8.8%, ապա 2022 թվականի նույն ժամանակահատվածում այն կազմել է 10.7% կամ շուրջ 1.9 տոկոսային կետով ավելի:</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առաջին կիսամյակում տեղաբաշխված պետական պարտատոմսերի ծավալը կազմել է 245.2 մլրդ դրամ՝ 2021 թվականի առաջին կիսամյակի 188.9 մլրդ դրամի դիմաց, իսկ </w:t>
      </w:r>
      <w:r w:rsidRPr="002915CB">
        <w:rPr>
          <w:rFonts w:ascii="GHEA Grapalat" w:hAnsi="GHEA Grapalat" w:cs="GHEA Grapalat"/>
          <w:sz w:val="22"/>
          <w:szCs w:val="22"/>
          <w:lang w:val="hy-AM"/>
        </w:rPr>
        <w:lastRenderedPageBreak/>
        <w:t>տեղաբաշխման միջին կշռված ժամկետայնությունը` 2213 օր՝ 2021 թվականի նույն ժամանակահատվածի 3886 օր ցուցանիշի համեմատ:</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 xml:space="preserve">2022 թվականի հունվար-հունիսին պետական (շուկայական) պարտատոմսերի նկատմամբ պահանջարկը գերազանցել է տեղաբաշխման ցուցանիշը 2 անգամ (2021 թվականի առաջին կիսամյակում՝ 1.7 անգամ), իսկ տեղաբաշխման ենթակա ծավալ/տեղաբաշխված ծավալ միջին հարաբերակցությունը կազմել է 1.15 (2021 թվականի առաջին </w:t>
      </w:r>
      <w:r w:rsidR="001607A1" w:rsidRPr="00FF3485">
        <w:rPr>
          <w:rFonts w:ascii="GHEA Grapalat" w:hAnsi="GHEA Grapalat" w:cs="GHEA Grapalat"/>
          <w:sz w:val="22"/>
          <w:szCs w:val="22"/>
          <w:lang w:val="hy-AM"/>
        </w:rPr>
        <w:t>կիսամ</w:t>
      </w:r>
      <w:r w:rsidRPr="002915CB">
        <w:rPr>
          <w:rFonts w:ascii="GHEA Grapalat" w:hAnsi="GHEA Grapalat" w:cs="GHEA Grapalat"/>
          <w:sz w:val="22"/>
          <w:szCs w:val="22"/>
          <w:lang w:val="hy-AM"/>
        </w:rPr>
        <w:t xml:space="preserve">յակում` 1.07): </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ՀՀ եվրապարտատոմսերի երկրորդային շուկա:</w:t>
      </w:r>
      <w:r w:rsidRPr="002915CB">
        <w:rPr>
          <w:rFonts w:ascii="GHEA Grapalat" w:hAnsi="GHEA Grapalat" w:cs="GHEA Grapalat"/>
          <w:sz w:val="22"/>
          <w:szCs w:val="22"/>
          <w:lang w:val="hy-AM"/>
        </w:rPr>
        <w:t xml:space="preserve"> ՀՀ եվրապարտատոմսերի երկրորդային շուկայում եկամտաբերո</w:t>
      </w:r>
      <w:r w:rsidR="001607A1" w:rsidRPr="002915CB">
        <w:rPr>
          <w:rFonts w:ascii="GHEA Grapalat" w:hAnsi="GHEA Grapalat" w:cs="GHEA Grapalat"/>
          <w:sz w:val="22"/>
          <w:szCs w:val="22"/>
          <w:lang w:val="hy-AM"/>
        </w:rPr>
        <w:t xml:space="preserve">ւթյունները 2022 թվականի առաջին </w:t>
      </w:r>
      <w:r w:rsidR="001607A1" w:rsidRPr="00FF3485">
        <w:rPr>
          <w:rFonts w:ascii="GHEA Grapalat" w:hAnsi="GHEA Grapalat" w:cs="GHEA Grapalat"/>
          <w:sz w:val="22"/>
          <w:szCs w:val="22"/>
          <w:lang w:val="hy-AM"/>
        </w:rPr>
        <w:t>կիսամ</w:t>
      </w:r>
      <w:r w:rsidRPr="002915CB">
        <w:rPr>
          <w:rFonts w:ascii="GHEA Grapalat" w:hAnsi="GHEA Grapalat" w:cs="GHEA Grapalat"/>
          <w:sz w:val="22"/>
          <w:szCs w:val="22"/>
          <w:lang w:val="hy-AM"/>
        </w:rPr>
        <w:t xml:space="preserve">յակում զգալի աճ են գրանցել՝ պայմանավորված ինչպես միջազգային շուկաներում տոկոսադրույքների բարձրացման միտումներով, այնպես էլ ռուս-ուկրաինական հակամարտության սպասվող բացասական ազդեցությունների ներքո տարածաշրջանի երկրների, այդ թվում՝ ՀՀ երկրի ռիսկի հավելավճարի ճշգրտմամբ։ Միջազգային կապիտալի շուկայում 2015 թվականին 7.5% եկամտաբերությամբ թողարկված պետական արտարժութային պարտատոմսերի եկամտաբերությունը 2022 թվականի առաջին կիսամյակում միջինում կազմել է 6.3%՝ 2021 թվականի նույն ժամանակահատվածում արձանագրված 3.6%-ի դիմաց, 2019 թվականին 4.2% եկամտաբերությամբ թողարկված պարտատոմսերի եկամտաբերությունը 2022 թվականի առաջին կիսամյակում միջինում կազմել է 6.5%` 2021 թվականի առաջին </w:t>
      </w:r>
      <w:r w:rsidR="001607A1"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 xml:space="preserve">ում գրանցված 4.2%-ի դիմաց, իսկ 2021 թվականի փետրվարին 3.9% եկամտաբերությամբ թողարկված պարտատոմսերի եկամտաբերությունը </w:t>
      </w:r>
      <w:r w:rsidR="001607A1" w:rsidRPr="002915CB">
        <w:rPr>
          <w:rFonts w:ascii="GHEA Grapalat" w:hAnsi="GHEA Grapalat" w:cs="GHEA Grapalat"/>
          <w:sz w:val="22"/>
          <w:szCs w:val="22"/>
          <w:lang w:val="hy-AM"/>
        </w:rPr>
        <w:t>կիսամյակ</w:t>
      </w:r>
      <w:r w:rsidRPr="002915CB">
        <w:rPr>
          <w:rFonts w:ascii="GHEA Grapalat" w:hAnsi="GHEA Grapalat" w:cs="GHEA Grapalat"/>
          <w:sz w:val="22"/>
          <w:szCs w:val="22"/>
          <w:lang w:val="hy-AM"/>
        </w:rPr>
        <w:t>ի վերջի դրությամբ կազմել է 6.8%` նախորդ տարվա նույն ժամանակահատվածի 4.5%-ի համեմատությամբ։</w:t>
      </w:r>
    </w:p>
    <w:p w:rsidR="00785E13" w:rsidRPr="002915CB" w:rsidRDefault="00785E13" w:rsidP="00785E13">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ՀՀ երկրի ռիսկի հավելավճար</w:t>
      </w:r>
      <w:r w:rsidR="006F2F58" w:rsidRPr="00FF3485">
        <w:rPr>
          <w:rFonts w:ascii="GHEA Grapalat" w:hAnsi="GHEA Grapalat" w:cs="GHEA Grapalat"/>
          <w:sz w:val="22"/>
          <w:szCs w:val="22"/>
          <w:lang w:val="hy-AM"/>
        </w:rPr>
        <w:t>ը</w:t>
      </w:r>
      <w:r w:rsidRPr="002915CB">
        <w:rPr>
          <w:rFonts w:ascii="GHEA Grapalat" w:hAnsi="GHEA Grapalat" w:cs="GHEA Grapalat"/>
          <w:sz w:val="22"/>
          <w:szCs w:val="22"/>
          <w:lang w:val="hy-AM"/>
        </w:rPr>
        <w:t xml:space="preserve"> ևս զգալիորեն բարձրացել է՝ պայմանավորված ռուս-ուկրաինական հակամարտության, ՌԴ նկատմամբ պատժամիջոցների, ինչպես նաև ԱՄՆ ԴՊՀ կողմից տոկոսադրույքների բարձրացման պայմաններում տարածաշրջանային և ընդհանուր առմամբ՝ զարգացող երկրներին բնորոշ ռիսկերի ավելացմամբ։ Մասնավորապես, 2029 թվականին մարվող եվրապարտատոմսերի ռիսկի հավելավճարը 2022 թվականի հունվար-հունիսին միջինում կազմել է 4.1 տոկոսային կետ՝ նախորդ տարվա նույն ժամանակահատվածի 2.8 տոկոսային կետ ցուցանիշի դիմաց։</w:t>
      </w:r>
    </w:p>
    <w:p w:rsidR="00785E13" w:rsidRPr="002915CB" w:rsidRDefault="00785E13" w:rsidP="00C320C6">
      <w:pPr>
        <w:spacing w:line="360" w:lineRule="auto"/>
        <w:ind w:firstLine="567"/>
        <w:jc w:val="both"/>
        <w:rPr>
          <w:rFonts w:ascii="GHEA Grapalat" w:hAnsi="GHEA Grapalat" w:cs="GHEA Grapalat"/>
          <w:sz w:val="22"/>
          <w:szCs w:val="22"/>
          <w:lang w:val="hy-AM"/>
        </w:rPr>
      </w:pPr>
    </w:p>
    <w:p w:rsidR="00563135" w:rsidRPr="002915CB"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28" w:name="_Toc71283308"/>
      <w:bookmarkStart w:id="29" w:name="_Toc71311888"/>
      <w:bookmarkStart w:id="30" w:name="_Toc165291598"/>
      <w:r w:rsidRPr="002915CB">
        <w:rPr>
          <w:rFonts w:ascii="GHEA Grapalat" w:hAnsi="GHEA Grapalat"/>
          <w:i w:val="0"/>
          <w:noProof/>
          <w:sz w:val="22"/>
          <w:szCs w:val="22"/>
          <w:lang w:val="de-AT"/>
        </w:rPr>
        <w:t>ՀԱՐԿԱԲՅՈՒՋԵՏԱՅԻՆ ՔԱՂԱՔԱԿԱՆՈՒԹՅԱՆ ՀԻՄՆԱԿԱՆ ԶԱՐԳԱՑՈՒՄՆԵՐԸ</w:t>
      </w:r>
      <w:bookmarkEnd w:id="28"/>
      <w:bookmarkEnd w:id="29"/>
      <w:bookmarkEnd w:id="30"/>
      <w:r w:rsidRPr="002915CB">
        <w:rPr>
          <w:rFonts w:ascii="GHEA Grapalat" w:hAnsi="GHEA Grapalat"/>
          <w:i w:val="0"/>
          <w:noProof/>
          <w:sz w:val="22"/>
          <w:szCs w:val="22"/>
          <w:lang w:val="de-AT"/>
        </w:rPr>
        <w:t xml:space="preserve"> </w:t>
      </w:r>
    </w:p>
    <w:p w:rsidR="007A2730" w:rsidRPr="002915CB" w:rsidRDefault="007A2730" w:rsidP="007A2730">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 թվականի առաջին կիսամյակում տնտեսական աճի և պահանջարկի աճի բարձր տեմպերի պայմաններում հարկաբյուջետային քաղաքականության ազդեցությունն ամբողջական պահանաջարկի վրա եղել է զսպող: Ընդ որում, նախորդ տարվ</w:t>
      </w:r>
      <w:r w:rsidR="006F2F58">
        <w:rPr>
          <w:rFonts w:ascii="GHEA Grapalat" w:hAnsi="GHEA Grapalat" w:cs="GHEA Grapalat"/>
          <w:sz w:val="22"/>
          <w:szCs w:val="22"/>
          <w:lang w:val="hy-AM"/>
        </w:rPr>
        <w:t>ա նույն ժամանակահատվածի համեմատ</w:t>
      </w:r>
      <w:r w:rsidRPr="002915CB">
        <w:rPr>
          <w:rFonts w:ascii="GHEA Grapalat" w:hAnsi="GHEA Grapalat" w:cs="GHEA Grapalat"/>
          <w:sz w:val="22"/>
          <w:szCs w:val="22"/>
          <w:lang w:val="hy-AM"/>
        </w:rPr>
        <w:t xml:space="preserve"> մի կողմից արձանագրվել է պետական բյուջեի եկամուտների գերակատարում, մյուս </w:t>
      </w:r>
      <w:r w:rsidRPr="002915CB">
        <w:rPr>
          <w:rFonts w:ascii="GHEA Grapalat" w:hAnsi="GHEA Grapalat" w:cs="GHEA Grapalat"/>
          <w:sz w:val="22"/>
          <w:szCs w:val="22"/>
          <w:lang w:val="hy-AM"/>
        </w:rPr>
        <w:lastRenderedPageBreak/>
        <w:t>կողմից</w:t>
      </w:r>
      <w:r w:rsidR="006F2F58" w:rsidRPr="00FF3485">
        <w:rPr>
          <w:rFonts w:ascii="GHEA Grapalat" w:hAnsi="GHEA Grapalat" w:cs="GHEA Grapalat"/>
          <w:sz w:val="22"/>
          <w:szCs w:val="22"/>
          <w:lang w:val="hy-AM"/>
        </w:rPr>
        <w:t>՝</w:t>
      </w:r>
      <w:r w:rsidRPr="002915CB">
        <w:rPr>
          <w:rFonts w:ascii="GHEA Grapalat" w:hAnsi="GHEA Grapalat" w:cs="GHEA Grapalat"/>
          <w:sz w:val="22"/>
          <w:szCs w:val="22"/>
          <w:lang w:val="hy-AM"/>
        </w:rPr>
        <w:t xml:space="preserve"> ծախսերի թերակատարում, ինչի արդյունքում ձևավորվել է պետական բյուջեի հավելուրդ՝ պլանավորված պակասուրդի փոխարեն: </w:t>
      </w:r>
    </w:p>
    <w:p w:rsidR="007A2730" w:rsidRPr="00FF3485" w:rsidRDefault="007A2730" w:rsidP="007A2730">
      <w:pPr>
        <w:spacing w:line="360" w:lineRule="auto"/>
        <w:ind w:firstLine="567"/>
        <w:jc w:val="both"/>
        <w:rPr>
          <w:rFonts w:ascii="GHEA Grapalat" w:hAnsi="GHEA Grapalat" w:cs="GHEA Grapalat"/>
          <w:sz w:val="22"/>
          <w:szCs w:val="22"/>
          <w:lang w:val="hy-AM"/>
        </w:rPr>
      </w:pPr>
      <w:r w:rsidRPr="006F2F58">
        <w:rPr>
          <w:rFonts w:ascii="GHEA Grapalat" w:hAnsi="GHEA Grapalat" w:cs="GHEA Grapalat"/>
          <w:b/>
          <w:i/>
          <w:sz w:val="22"/>
          <w:szCs w:val="22"/>
          <w:lang w:val="hy-AM"/>
        </w:rPr>
        <w:t>Պետական բյուջեի եկամուտները:</w:t>
      </w:r>
      <w:r w:rsidRPr="002915CB">
        <w:rPr>
          <w:rFonts w:ascii="GHEA Grapalat" w:hAnsi="GHEA Grapalat" w:cs="GHEA Grapalat"/>
          <w:sz w:val="22"/>
          <w:szCs w:val="22"/>
          <w:lang w:val="hy-AM"/>
        </w:rPr>
        <w:t xml:space="preserve"> 2022 թվականի առաջին կիսամյակում ՀՀ պետական բյուջեի եկամուտներն աճել են բարձր տեմպերով՝ պայմանավորված բարձր</w:t>
      </w:r>
      <w:r w:rsidR="0058703C">
        <w:rPr>
          <w:rFonts w:ascii="GHEA Grapalat" w:hAnsi="GHEA Grapalat" w:cs="GHEA Grapalat"/>
          <w:sz w:val="22"/>
          <w:szCs w:val="22"/>
          <w:lang w:val="hy-AM"/>
        </w:rPr>
        <w:t xml:space="preserve"> </w:t>
      </w:r>
      <w:r w:rsidRPr="002915CB">
        <w:rPr>
          <w:rFonts w:ascii="GHEA Grapalat" w:hAnsi="GHEA Grapalat" w:cs="GHEA Grapalat"/>
          <w:sz w:val="22"/>
          <w:szCs w:val="22"/>
          <w:lang w:val="hy-AM"/>
        </w:rPr>
        <w:t>տնտեսական աճով և գնաճով, ինչպես նաև հարկային օրենսդրության փոփոխություններով: Ընդ որում, առաջին կիսամյակում տնտեսական ակտիվության տեմպերի արագացմանը զուգընթաց, հարկերի հավաքագրման բարձր աճի տեմպերը պահպանվել են ամբողջ կիսամյակի ընթացքում։ 2022 թվականի հունվար-հունիս ամիսների արդյունքներով ՀՀ պետական բյուջեի ընդհանուր եկամուտները կազմել են 982.8 մլրդ դրամ՝ նախորդ տարվա նույն ժամանակահատվածի համեմատ աճելով 24.3%-ով, իսկ հարկերը և տուրքերը կազմել են 927.9 մլրդ դրամ՝ նախորդ տարվա նույն ժամանակահատվածի համեմատ աճելով 23.7%-ով: Հարկային եկամուտների աճը հիմնականում պայմանավորված է հարկման բազաների (հիմնականում սպառման և ներմուծման, ինչպես նաև շահույթների և աշխատավարձերի) աճի, ինչպես նաև 2021 թվականի հարկային օրենսդրության բարեփոխումներով, մասնավորապես՝ արտահանման տուրքի ներդրմամբ:</w:t>
      </w:r>
    </w:p>
    <w:p w:rsidR="007A2730" w:rsidRPr="00FF3485" w:rsidRDefault="007A2730" w:rsidP="007A2730">
      <w:pPr>
        <w:spacing w:line="360" w:lineRule="auto"/>
        <w:ind w:firstLine="567"/>
        <w:jc w:val="both"/>
        <w:rPr>
          <w:rFonts w:ascii="GHEA Grapalat" w:hAnsi="GHEA Grapalat" w:cs="GHEA Grapalat"/>
          <w:sz w:val="22"/>
          <w:szCs w:val="22"/>
          <w:lang w:val="hy-AM"/>
        </w:rPr>
      </w:pPr>
    </w:p>
    <w:p w:rsidR="007A2730" w:rsidRPr="002915CB" w:rsidRDefault="007A2730" w:rsidP="007A2730">
      <w:pPr>
        <w:pStyle w:val="a"/>
      </w:pPr>
      <w:r w:rsidRPr="002915CB">
        <w:t>Պետական բյուջեի հարկային եկամուտները 2021-2022թթ. ըստ ամիսների</w:t>
      </w:r>
    </w:p>
    <w:p w:rsidR="007A2730" w:rsidRPr="002915CB" w:rsidRDefault="007A2730" w:rsidP="007A2730">
      <w:pPr>
        <w:autoSpaceDE w:val="0"/>
        <w:autoSpaceDN w:val="0"/>
        <w:adjustRightInd w:val="0"/>
        <w:spacing w:after="120" w:line="276" w:lineRule="auto"/>
        <w:ind w:hanging="90"/>
        <w:jc w:val="center"/>
        <w:rPr>
          <w:rFonts w:ascii="GHEA Grapalat" w:eastAsia="GHEA Grapalat" w:hAnsi="GHEA Grapalat" w:cs="GHEA Grapalat"/>
          <w:sz w:val="22"/>
          <w:szCs w:val="22"/>
        </w:rPr>
      </w:pPr>
      <w:r w:rsidRPr="002915CB">
        <w:rPr>
          <w:rFonts w:ascii="GHEA Grapalat" w:eastAsia="GHEA Grapalat" w:hAnsi="GHEA Grapalat" w:cs="GHEA Grapalat"/>
          <w:noProof/>
        </w:rPr>
        <w:drawing>
          <wp:inline distT="0" distB="0" distL="0" distR="0" wp14:anchorId="67FDF735" wp14:editId="1501A81D">
            <wp:extent cx="5759450" cy="2667000"/>
            <wp:effectExtent l="0" t="0" r="1270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2730" w:rsidRPr="002915CB" w:rsidRDefault="007A2730" w:rsidP="007A2730">
      <w:pPr>
        <w:spacing w:line="360" w:lineRule="auto"/>
        <w:ind w:firstLine="567"/>
        <w:jc w:val="both"/>
        <w:rPr>
          <w:rFonts w:ascii="GHEA Grapalat" w:hAnsi="GHEA Grapalat" w:cs="GHEA Grapalat"/>
          <w:b/>
          <w:i/>
          <w:sz w:val="22"/>
          <w:szCs w:val="22"/>
        </w:rPr>
      </w:pPr>
    </w:p>
    <w:p w:rsidR="007A2730" w:rsidRPr="002915CB" w:rsidRDefault="007A2730" w:rsidP="007A2730">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Պետական բյուջեի ծախսերը:</w:t>
      </w:r>
      <w:r w:rsidRPr="002915CB">
        <w:rPr>
          <w:rFonts w:ascii="GHEA Grapalat" w:hAnsi="GHEA Grapalat" w:cs="GHEA Grapalat"/>
          <w:sz w:val="22"/>
          <w:szCs w:val="22"/>
          <w:lang w:val="hy-AM"/>
        </w:rPr>
        <w:t xml:space="preserve"> Պետական բյուջեի ծախսերը 2022</w:t>
      </w:r>
      <w:r w:rsidR="00F33D64" w:rsidRPr="002915CB">
        <w:rPr>
          <w:rFonts w:ascii="GHEA Grapalat" w:hAnsi="GHEA Grapalat" w:cs="GHEA Grapalat"/>
          <w:sz w:val="22"/>
          <w:szCs w:val="22"/>
        </w:rPr>
        <w:t xml:space="preserve"> </w:t>
      </w:r>
      <w:r w:rsidRPr="002915CB">
        <w:rPr>
          <w:rFonts w:ascii="GHEA Grapalat" w:hAnsi="GHEA Grapalat" w:cs="GHEA Grapalat"/>
          <w:sz w:val="22"/>
          <w:szCs w:val="22"/>
          <w:lang w:val="hy-AM"/>
        </w:rPr>
        <w:t>թ</w:t>
      </w:r>
      <w:r w:rsidR="00F33D64" w:rsidRPr="002915CB">
        <w:rPr>
          <w:rFonts w:ascii="GHEA Grapalat" w:hAnsi="GHEA Grapalat" w:cs="GHEA Grapalat"/>
          <w:sz w:val="22"/>
          <w:szCs w:val="22"/>
        </w:rPr>
        <w:t>վականի</w:t>
      </w:r>
      <w:r w:rsidRPr="002915CB">
        <w:rPr>
          <w:rFonts w:ascii="GHEA Grapalat" w:hAnsi="GHEA Grapalat" w:cs="GHEA Grapalat"/>
          <w:sz w:val="22"/>
          <w:szCs w:val="22"/>
          <w:lang w:val="hy-AM"/>
        </w:rPr>
        <w:t xml:space="preserve"> առաջին վեց ամիսներին աճել են, սակայն ծրագրվածի համեմատ արձանագրվել է էական թերակատարում: 2022 թվականի առաջին կիսամյակում պետական բյուջեի ծախսերը կազմել են 910.3 մլրդ դրամ՝ նախորդ տարվա նույն ժամանակահատվածի համեմատ աճելով 5.1%-ով: Նույն ժամանակահատվածում </w:t>
      </w:r>
      <w:r w:rsidRPr="002915CB">
        <w:rPr>
          <w:rFonts w:ascii="GHEA Grapalat" w:hAnsi="GHEA Grapalat" w:cs="GHEA Grapalat"/>
          <w:sz w:val="22"/>
          <w:szCs w:val="22"/>
          <w:lang w:val="hy-AM"/>
        </w:rPr>
        <w:lastRenderedPageBreak/>
        <w:t>ընթացիկ ծախսերը կազմել են 813.3 մլրդ դրամ` նախորդ տարվա նույն ժամանակահատվածի համեմատ աճելով 3%</w:t>
      </w:r>
      <w:r w:rsidRPr="002915CB">
        <w:rPr>
          <w:rFonts w:ascii="GHEA Grapalat" w:hAnsi="GHEA Grapalat" w:cs="GHEA Grapalat"/>
          <w:sz w:val="22"/>
          <w:szCs w:val="22"/>
          <w:lang w:val="hy-AM"/>
        </w:rPr>
        <w:noBreakHyphen/>
        <w:t xml:space="preserve">ով: </w:t>
      </w:r>
    </w:p>
    <w:p w:rsidR="007A2730" w:rsidRPr="00FF3485" w:rsidRDefault="007A2730" w:rsidP="007A2730">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Ոչ ֆինանսական ակտիվների հետ գործառնությունները կազմել են 97.1 մլրդ դրամ, որում ոչ ֆինանսական ակտիվների գծով ծախսերը (կապիտալ ծախսեր) կազմել են 100.6 մլրդ դրամ` նախորդ տարվա նույն ժամանակահատվածի նկատմամբ աճելով 29.4%</w:t>
      </w:r>
      <w:r w:rsidRPr="002915CB">
        <w:rPr>
          <w:rFonts w:ascii="GHEA Grapalat" w:hAnsi="GHEA Grapalat" w:cs="GHEA Grapalat"/>
          <w:sz w:val="22"/>
          <w:szCs w:val="22"/>
          <w:lang w:val="hy-AM"/>
        </w:rPr>
        <w:noBreakHyphen/>
        <w:t>ով: 2022 թվականի վեց ամիսներին կապիտալ ծախսերի ճշտված ծրագրի կատարողականը վատթարացել է՝ կազմելով 59.3%՝ նախորդ տարվա նույն ժամանակահատվածի 64.3%-ի դիմաց։ Ե՛վ ներքին, և՛ արտաքին միջոցների հաշվին իրականացված կապիտալ ծախսերը թերակատարվել են, սակայն ավելի ցածր կատարողական է արձանագրվել արտաքին աջակցությամբ իրականացվող ծախսերի գծով, որոնց շրջանակներում օգտագործվել է վեց ամիսների ծրագրված միջոցների ընդամենը 32.6%-ը: Կատարողականի համեմատաբար ցածր ցուցանիշները ցույց են տալիս, որ կապիտալ ծրագրերի կառավարման և իրականացման խնդիրը շարունակում է մնալ արդիական։</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Պետական աջակցության ծրագրերը:</w:t>
      </w:r>
      <w:r w:rsidRPr="002915CB">
        <w:rPr>
          <w:rFonts w:ascii="GHEA Grapalat" w:hAnsi="GHEA Grapalat" w:cs="GHEA Grapalat"/>
          <w:sz w:val="22"/>
          <w:szCs w:val="22"/>
          <w:lang w:val="hy-AM"/>
        </w:rPr>
        <w:t xml:space="preserve"> 2022 թվականի վեց ամիսներին ՀՀ պետական բյուջեի ընթացիկ ծախսերի կազմում կորոնավիրուսի (COVID-19) սոցիալ-տնտեսական հետևանքների չեզոքացման նպատակով իրականացված միջոցառումների գծով հատկացված միջոցների ծավալը կազմել է ընդամենը 11.5 մլրդ դրամ, որից 2.9 մլրդ դրամն ուղղվել է տնտեսական աջակցության միջոցառումներին, իսկ 8.6 մլրդ դրամը՝ առողջապահական միջոցառումներին:</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Նույն ժամանակահատվածում պետական բյուջեից շարունակվել են իրականացվել Արցախյան պատերազմի հետևանքների մեղմանն ուղղված միջոցառումները, որոնց ծավալն առաջին կիսամյակում կազմել է շուրջ 0.6 մլրդ դրամ, որից շուրջ 0.4 մլրդ դրամն ուղղվել է սոցիալական աջակցության ծրագրերին: Բացի այդ, աճել է ՀՀ պետական բյուջեից Արցախի Հանրապետությանը տրամադրվող միջպետական վարկի ծավալը՝ կազմելով 93.1 մլրդ դրամ՝ նախորդ տարվա նույն ժամանակահատվածի 63 մլրդ դրամի դիմաց:</w:t>
      </w:r>
    </w:p>
    <w:p w:rsidR="001607A1" w:rsidRPr="002915CB" w:rsidRDefault="001607A1"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sz w:val="22"/>
          <w:szCs w:val="22"/>
          <w:lang w:val="hy-AM"/>
        </w:rPr>
        <w:t>2022</w:t>
      </w:r>
      <w:r w:rsidR="006F2F58" w:rsidRPr="00FF3485">
        <w:rPr>
          <w:rFonts w:ascii="GHEA Grapalat" w:hAnsi="GHEA Grapalat" w:cs="GHEA Grapalat"/>
          <w:sz w:val="22"/>
          <w:szCs w:val="22"/>
          <w:lang w:val="hy-AM"/>
        </w:rPr>
        <w:t xml:space="preserve"> </w:t>
      </w:r>
      <w:r w:rsidRPr="002915CB">
        <w:rPr>
          <w:rFonts w:ascii="GHEA Grapalat" w:hAnsi="GHEA Grapalat" w:cs="GHEA Grapalat"/>
          <w:sz w:val="22"/>
          <w:szCs w:val="22"/>
          <w:lang w:val="hy-AM"/>
        </w:rPr>
        <w:t>թ</w:t>
      </w:r>
      <w:r w:rsidR="006F2F58" w:rsidRPr="00FF3485">
        <w:rPr>
          <w:rFonts w:ascii="GHEA Grapalat" w:hAnsi="GHEA Grapalat" w:cs="GHEA Grapalat"/>
          <w:sz w:val="22"/>
          <w:szCs w:val="22"/>
          <w:lang w:val="hy-AM"/>
        </w:rPr>
        <w:t>վականի</w:t>
      </w:r>
      <w:r w:rsidRPr="002915CB">
        <w:rPr>
          <w:rFonts w:ascii="GHEA Grapalat" w:hAnsi="GHEA Grapalat" w:cs="GHEA Grapalat"/>
          <w:sz w:val="22"/>
          <w:szCs w:val="22"/>
          <w:lang w:val="hy-AM"/>
        </w:rPr>
        <w:t xml:space="preserve"> առաջին կիսամյակում դեպի ՀՀ կապիտալի լրացուցիչ հոսքերով պայմանավորված ՀՀ դրամի արժևորման պայմաններում արտահանելի հատվածին աջակցելու նպատակով ՀՀ կառավարությունը 2022թ. մարտի 24-ի թիվ N399-Լ որոշմամբ նախատեսել է տեղեկատվական տեխնոլոգիաների ոլորտի առևտրային կազմակերպություններին և անհատ ձեռնարկատերերին, որոնք համապատասխանում են որոշմամբ սահմանված պահանջներին, տրամադրել պետական աջակցություն՝ նոր ընդունված աշխատողների գծով պետական բյուջե վճարված եկամտային հարկի 50 տոկոսի չափով։</w:t>
      </w:r>
    </w:p>
    <w:p w:rsidR="001607A1" w:rsidRPr="00FF3485" w:rsidRDefault="007A2730" w:rsidP="001607A1">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Պետական բյուջեի պակասուրդը:</w:t>
      </w:r>
      <w:r w:rsidRPr="002915CB">
        <w:rPr>
          <w:rFonts w:ascii="GHEA Grapalat" w:hAnsi="GHEA Grapalat" w:cs="GHEA Grapalat"/>
          <w:sz w:val="22"/>
          <w:szCs w:val="22"/>
          <w:lang w:val="hy-AM"/>
        </w:rPr>
        <w:t xml:space="preserve"> Վերոնշյալ զարգացումների արդյունքում պետական բյուջեն եղել է հավելուրդային: 2022 թվականի առաջին կիսամյակում ձևավորվել է պետական բյուջեի </w:t>
      </w:r>
      <w:r w:rsidRPr="002915CB">
        <w:rPr>
          <w:rFonts w:ascii="GHEA Grapalat" w:hAnsi="GHEA Grapalat" w:cs="GHEA Grapalat"/>
          <w:sz w:val="22"/>
          <w:szCs w:val="22"/>
          <w:lang w:val="hy-AM"/>
        </w:rPr>
        <w:lastRenderedPageBreak/>
        <w:t xml:space="preserve">72.4 մլրդ դրամ հավելուրդ՝ նախորդ տարվա նույն ժամանակահատվածի 75.5 մլրդ դրամ պակասուրդի դիմաց: </w:t>
      </w:r>
    </w:p>
    <w:p w:rsidR="007A2730" w:rsidRPr="00FF3485" w:rsidRDefault="007A2730" w:rsidP="007A2730">
      <w:pPr>
        <w:spacing w:line="360" w:lineRule="auto"/>
        <w:ind w:firstLine="567"/>
        <w:jc w:val="both"/>
        <w:rPr>
          <w:rFonts w:ascii="GHEA Grapalat" w:hAnsi="GHEA Grapalat" w:cs="GHEA Grapalat"/>
          <w:sz w:val="22"/>
          <w:szCs w:val="22"/>
          <w:lang w:val="hy-AM"/>
        </w:rPr>
      </w:pPr>
      <w:r w:rsidRPr="002915CB">
        <w:rPr>
          <w:rFonts w:ascii="GHEA Grapalat" w:hAnsi="GHEA Grapalat" w:cs="GHEA Grapalat"/>
          <w:b/>
          <w:i/>
          <w:sz w:val="22"/>
          <w:szCs w:val="22"/>
          <w:lang w:val="hy-AM"/>
        </w:rPr>
        <w:t>Հարկաբյուջետային ազդակը:</w:t>
      </w:r>
      <w:r w:rsidRPr="002915CB">
        <w:rPr>
          <w:rFonts w:ascii="GHEA Grapalat" w:hAnsi="GHEA Grapalat" w:cs="GHEA Grapalat"/>
          <w:sz w:val="22"/>
          <w:szCs w:val="22"/>
          <w:lang w:val="hy-AM"/>
        </w:rPr>
        <w:t xml:space="preserve"> 2022 թվականի վեց ամիսների ընթացքում տնտեսության վերականգնման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2022 թվականի վեց ամիսներին նախորդ տարվա նույն ժամանակահատվածի նկատմամբ ունեցել է զսպող (-4.0) ազդեցություն` պայմանավորված եկամուտների (-2.3) և ծախսերի (-1.7) զսպող ազդեցություններով:</w:t>
      </w:r>
    </w:p>
    <w:p w:rsidR="001607A1" w:rsidRPr="00FF3485" w:rsidRDefault="001607A1" w:rsidP="007A2730">
      <w:pPr>
        <w:spacing w:line="360" w:lineRule="auto"/>
        <w:ind w:firstLine="567"/>
        <w:jc w:val="both"/>
        <w:rPr>
          <w:rFonts w:ascii="GHEA Grapalat" w:hAnsi="GHEA Grapalat" w:cs="GHEA Grapalat"/>
          <w:sz w:val="22"/>
          <w:szCs w:val="22"/>
          <w:lang w:val="hy-AM"/>
        </w:rPr>
      </w:pPr>
    </w:p>
    <w:p w:rsidR="007A2730" w:rsidRPr="002915CB" w:rsidRDefault="007A2730" w:rsidP="007A2730">
      <w:pPr>
        <w:pStyle w:val="a"/>
      </w:pPr>
      <w:r w:rsidRPr="002915CB">
        <w:t>Հարկաբյուջետային ազդակը 2018 թվականից եռամսյակային կտրվածքով (կուտակային)</w:t>
      </w:r>
      <w:r w:rsidRPr="002915CB">
        <w:rPr>
          <w:vertAlign w:val="superscript"/>
        </w:rPr>
        <w:footnoteReference w:id="29"/>
      </w:r>
    </w:p>
    <w:p w:rsidR="007A2730" w:rsidRPr="002915CB" w:rsidRDefault="007A2730" w:rsidP="007A2730">
      <w:pPr>
        <w:tabs>
          <w:tab w:val="left" w:pos="0"/>
          <w:tab w:val="left" w:pos="900"/>
        </w:tabs>
        <w:spacing w:after="120" w:line="276" w:lineRule="auto"/>
        <w:jc w:val="center"/>
        <w:rPr>
          <w:rFonts w:ascii="GHEA Grapalat" w:hAnsi="GHEA Grapalat" w:cs="GHEA Grapalat"/>
          <w:sz w:val="22"/>
          <w:szCs w:val="22"/>
        </w:rPr>
      </w:pPr>
      <w:r w:rsidRPr="002915CB">
        <w:rPr>
          <w:rFonts w:ascii="GHEA Grapalat" w:eastAsia="GHEA Grapalat" w:hAnsi="GHEA Grapalat" w:cs="GHEA Grapalat"/>
          <w:b/>
          <w:noProof/>
        </w:rPr>
        <w:drawing>
          <wp:inline distT="0" distB="0" distL="0" distR="0" wp14:anchorId="7B9B1DAC" wp14:editId="08CE5815">
            <wp:extent cx="5760000" cy="2880000"/>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25A7" w:rsidRPr="002915CB" w:rsidRDefault="00AE25A7" w:rsidP="00EA58C0">
      <w:pPr>
        <w:spacing w:line="360" w:lineRule="auto"/>
        <w:ind w:firstLine="567"/>
        <w:jc w:val="both"/>
        <w:rPr>
          <w:rFonts w:ascii="GHEA Grapalat" w:hAnsi="GHEA Grapalat" w:cs="GHEA Grapalat"/>
          <w:sz w:val="22"/>
          <w:szCs w:val="22"/>
          <w:lang w:val="hy-AM"/>
        </w:rPr>
      </w:pPr>
    </w:p>
    <w:p w:rsidR="00563135" w:rsidRPr="002915CB" w:rsidRDefault="00563135" w:rsidP="00563135">
      <w:pPr>
        <w:autoSpaceDE w:val="0"/>
        <w:autoSpaceDN w:val="0"/>
        <w:adjustRightInd w:val="0"/>
        <w:spacing w:line="360" w:lineRule="auto"/>
        <w:ind w:firstLine="567"/>
        <w:jc w:val="both"/>
        <w:rPr>
          <w:rFonts w:ascii="GHEA Grapalat" w:hAnsi="GHEA Grapalat" w:cs="GHEA Grapalat"/>
          <w:sz w:val="22"/>
          <w:szCs w:val="22"/>
          <w:lang w:val="hy-AM"/>
        </w:rPr>
        <w:sectPr w:rsidR="00563135" w:rsidRPr="002915CB" w:rsidSect="009C41C6">
          <w:pgSz w:w="11907" w:h="16840" w:code="9"/>
          <w:pgMar w:top="1134" w:right="567" w:bottom="567" w:left="1134" w:header="720" w:footer="567" w:gutter="0"/>
          <w:cols w:space="720"/>
        </w:sectPr>
      </w:pPr>
    </w:p>
    <w:p w:rsidR="00AE25A7" w:rsidRPr="002915CB" w:rsidRDefault="00AE25A7"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1" w:name="_Toc100315622"/>
      <w:bookmarkStart w:id="32" w:name="_Toc102746162"/>
      <w:bookmarkStart w:id="33" w:name="_Toc165291599"/>
      <w:r w:rsidRPr="002915CB">
        <w:rPr>
          <w:rFonts w:ascii="GHEA Grapalat" w:hAnsi="GHEA Grapalat"/>
          <w:i w:val="0"/>
          <w:noProof/>
          <w:sz w:val="22"/>
          <w:szCs w:val="22"/>
          <w:lang w:val="de-AT"/>
        </w:rPr>
        <w:lastRenderedPageBreak/>
        <w:t>Հավելված: Տնտեսության ճյուղերի և ենթաճյուղերի, արտահանման և ներմուծման ապրանքախմբերի հիմնական ցուցանիշների աղյուսակներ</w:t>
      </w:r>
      <w:bookmarkEnd w:id="31"/>
      <w:bookmarkEnd w:id="32"/>
      <w:bookmarkEnd w:id="33"/>
    </w:p>
    <w:p w:rsidR="007A2730" w:rsidRPr="00FF3485" w:rsidRDefault="007A2730" w:rsidP="007A2730">
      <w:pPr>
        <w:jc w:val="center"/>
        <w:rPr>
          <w:rFonts w:ascii="GHEA Grapalat" w:hAnsi="GHEA Grapalat"/>
          <w:sz w:val="22"/>
          <w:szCs w:val="20"/>
          <w:lang w:val="de-AT"/>
        </w:rPr>
      </w:pPr>
      <w:r w:rsidRPr="002915CB">
        <w:rPr>
          <w:rFonts w:ascii="GHEA Grapalat" w:hAnsi="GHEA Grapalat" w:cs="Arial"/>
          <w:b/>
          <w:sz w:val="22"/>
          <w:szCs w:val="20"/>
        </w:rPr>
        <w:t>Աղյուսակ</w:t>
      </w:r>
      <w:r w:rsidRPr="00FF3485">
        <w:rPr>
          <w:rFonts w:ascii="GHEA Grapalat" w:hAnsi="GHEA Grapalat" w:cs="Arial"/>
          <w:b/>
          <w:sz w:val="22"/>
          <w:szCs w:val="20"/>
          <w:lang w:val="de-AT"/>
        </w:rPr>
        <w:t xml:space="preserve"> 1: </w:t>
      </w:r>
      <w:r w:rsidRPr="002915CB">
        <w:rPr>
          <w:rFonts w:ascii="GHEA Grapalat" w:hAnsi="GHEA Grapalat" w:cs="Arial"/>
          <w:sz w:val="22"/>
          <w:szCs w:val="20"/>
        </w:rPr>
        <w:t>Տնտեսության</w:t>
      </w:r>
      <w:r w:rsidRPr="00FF3485">
        <w:rPr>
          <w:rFonts w:ascii="GHEA Grapalat" w:hAnsi="GHEA Grapalat" w:cs="Arial"/>
          <w:sz w:val="22"/>
          <w:szCs w:val="20"/>
          <w:lang w:val="de-AT"/>
        </w:rPr>
        <w:t xml:space="preserve"> </w:t>
      </w:r>
      <w:r w:rsidRPr="002915CB">
        <w:rPr>
          <w:rFonts w:ascii="GHEA Grapalat" w:hAnsi="GHEA Grapalat" w:cs="Arial"/>
          <w:sz w:val="22"/>
          <w:szCs w:val="20"/>
        </w:rPr>
        <w:t>ճյուղերի</w:t>
      </w:r>
      <w:r w:rsidRPr="00FF3485">
        <w:rPr>
          <w:rFonts w:ascii="GHEA Grapalat" w:hAnsi="GHEA Grapalat" w:cs="Arial"/>
          <w:sz w:val="22"/>
          <w:szCs w:val="20"/>
          <w:lang w:val="de-AT"/>
        </w:rPr>
        <w:t xml:space="preserve"> </w:t>
      </w:r>
      <w:r w:rsidRPr="002915CB">
        <w:rPr>
          <w:rFonts w:ascii="GHEA Grapalat" w:hAnsi="GHEA Grapalat" w:cs="Arial"/>
          <w:sz w:val="22"/>
          <w:szCs w:val="20"/>
        </w:rPr>
        <w:t>և</w:t>
      </w:r>
      <w:r w:rsidRPr="00FF3485">
        <w:rPr>
          <w:rFonts w:ascii="GHEA Grapalat" w:hAnsi="GHEA Grapalat" w:cs="Arial"/>
          <w:sz w:val="22"/>
          <w:szCs w:val="20"/>
          <w:lang w:val="de-AT"/>
        </w:rPr>
        <w:t xml:space="preserve"> </w:t>
      </w:r>
      <w:r w:rsidRPr="002915CB">
        <w:rPr>
          <w:rFonts w:ascii="GHEA Grapalat" w:hAnsi="GHEA Grapalat" w:cs="Arial"/>
          <w:sz w:val="22"/>
          <w:szCs w:val="20"/>
        </w:rPr>
        <w:t>ենթաճյուղերի</w:t>
      </w:r>
      <w:r w:rsidRPr="00FF3485">
        <w:rPr>
          <w:rFonts w:ascii="GHEA Grapalat" w:hAnsi="GHEA Grapalat" w:cs="Arial"/>
          <w:sz w:val="22"/>
          <w:szCs w:val="20"/>
          <w:lang w:val="de-AT"/>
        </w:rPr>
        <w:t xml:space="preserve"> </w:t>
      </w:r>
      <w:r w:rsidRPr="002915CB">
        <w:rPr>
          <w:rFonts w:ascii="GHEA Grapalat" w:hAnsi="GHEA Grapalat" w:cs="Arial"/>
          <w:sz w:val="22"/>
          <w:szCs w:val="20"/>
        </w:rPr>
        <w:t>թողարկման</w:t>
      </w:r>
      <w:r w:rsidRPr="00FF3485">
        <w:rPr>
          <w:rFonts w:ascii="GHEA Grapalat" w:hAnsi="GHEA Grapalat"/>
          <w:sz w:val="22"/>
          <w:szCs w:val="20"/>
          <w:lang w:val="de-AT"/>
        </w:rPr>
        <w:t xml:space="preserve"> </w:t>
      </w:r>
      <w:r w:rsidRPr="002915CB">
        <w:rPr>
          <w:rFonts w:ascii="GHEA Grapalat" w:hAnsi="GHEA Grapalat" w:cs="Arial"/>
          <w:sz w:val="22"/>
          <w:szCs w:val="20"/>
        </w:rPr>
        <w:t>ծավալների</w:t>
      </w:r>
      <w:r w:rsidRPr="00FF3485">
        <w:rPr>
          <w:rFonts w:ascii="GHEA Grapalat" w:hAnsi="GHEA Grapalat"/>
          <w:sz w:val="22"/>
          <w:szCs w:val="20"/>
          <w:lang w:val="de-AT"/>
        </w:rPr>
        <w:t xml:space="preserve"> </w:t>
      </w:r>
      <w:r w:rsidRPr="002915CB">
        <w:rPr>
          <w:rFonts w:ascii="GHEA Grapalat" w:hAnsi="GHEA Grapalat" w:cs="Arial"/>
          <w:sz w:val="22"/>
          <w:szCs w:val="20"/>
        </w:rPr>
        <w:t>ցուցանիշները</w:t>
      </w:r>
      <w:r w:rsidRPr="00FF3485">
        <w:rPr>
          <w:rFonts w:ascii="GHEA Grapalat" w:hAnsi="GHEA Grapalat" w:cs="Arial"/>
          <w:sz w:val="22"/>
          <w:szCs w:val="20"/>
          <w:lang w:val="de-AT"/>
        </w:rPr>
        <w:t>,</w:t>
      </w:r>
      <w:r w:rsidRPr="00FF3485">
        <w:rPr>
          <w:rFonts w:ascii="GHEA Grapalat" w:hAnsi="GHEA Grapalat"/>
          <w:sz w:val="22"/>
          <w:szCs w:val="20"/>
          <w:lang w:val="de-AT"/>
        </w:rPr>
        <w:t xml:space="preserve"> </w:t>
      </w:r>
    </w:p>
    <w:p w:rsidR="007A2730" w:rsidRPr="002915CB" w:rsidRDefault="007A2730" w:rsidP="007A2730">
      <w:pPr>
        <w:jc w:val="center"/>
        <w:rPr>
          <w:rFonts w:ascii="GHEA Grapalat" w:hAnsi="GHEA Grapalat"/>
          <w:sz w:val="22"/>
          <w:szCs w:val="20"/>
        </w:rPr>
      </w:pPr>
      <w:r w:rsidRPr="002915CB">
        <w:rPr>
          <w:rFonts w:ascii="GHEA Grapalat" w:hAnsi="GHEA Grapalat"/>
          <w:sz w:val="22"/>
          <w:szCs w:val="20"/>
        </w:rPr>
        <w:t>2022</w:t>
      </w:r>
      <w:r w:rsidRPr="002915CB">
        <w:rPr>
          <w:rFonts w:ascii="GHEA Grapalat" w:hAnsi="GHEA Grapalat" w:cs="Arial"/>
          <w:sz w:val="22"/>
          <w:szCs w:val="20"/>
        </w:rPr>
        <w:t xml:space="preserve"> թվականի</w:t>
      </w:r>
      <w:r w:rsidRPr="002915CB">
        <w:rPr>
          <w:rFonts w:ascii="GHEA Grapalat" w:hAnsi="GHEA Grapalat"/>
          <w:sz w:val="22"/>
          <w:szCs w:val="20"/>
        </w:rPr>
        <w:t xml:space="preserve"> հունվար-հունիս</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7A2730" w:rsidRPr="002915CB" w:rsidTr="007A273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jc w:val="center"/>
              <w:rPr>
                <w:rFonts w:ascii="GHEA Grapalat" w:hAnsi="GHEA Grapalat"/>
                <w:bCs w:val="0"/>
                <w:i/>
                <w:iCs/>
                <w:color w:val="FF0000"/>
                <w:sz w:val="20"/>
                <w:szCs w:val="20"/>
                <w:lang w:val="hy-AM"/>
              </w:rPr>
            </w:pP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 դրամ)</w:t>
            </w:r>
          </w:p>
        </w:tc>
        <w:tc>
          <w:tcPr>
            <w:tcW w:w="134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25"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65"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r w:rsidRPr="002915CB">
              <w:rPr>
                <w:rStyle w:val="FootnoteReference"/>
                <w:rFonts w:ascii="GHEA Grapalat" w:hAnsi="GHEA Grapalat"/>
                <w:bCs w:val="0"/>
                <w:sz w:val="20"/>
                <w:szCs w:val="20"/>
              </w:rPr>
              <w:footnoteReference w:id="30"/>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rPr>
                <w:rFonts w:ascii="GHEA Grapalat" w:hAnsi="GHEA Grapalat"/>
                <w:bCs w:val="0"/>
                <w:sz w:val="20"/>
                <w:szCs w:val="20"/>
              </w:rPr>
            </w:pPr>
            <w:r w:rsidRPr="002915CB">
              <w:rPr>
                <w:rFonts w:ascii="GHEA Grapalat" w:hAnsi="GHEA Grapalat"/>
                <w:bCs w:val="0"/>
                <w:sz w:val="20"/>
                <w:szCs w:val="20"/>
              </w:rPr>
              <w:t>Ամբողջ արդյունաբերություն, այդ թվում՝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1193.6</w:t>
            </w:r>
          </w:p>
        </w:tc>
        <w:tc>
          <w:tcPr>
            <w:tcW w:w="134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100.0</w:t>
            </w:r>
          </w:p>
        </w:tc>
        <w:tc>
          <w:tcPr>
            <w:tcW w:w="122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105.8</w:t>
            </w:r>
          </w:p>
        </w:tc>
        <w:tc>
          <w:tcPr>
            <w:tcW w:w="186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5.8</w:t>
            </w:r>
          </w:p>
        </w:tc>
      </w:tr>
      <w:tr w:rsidR="007A2730" w:rsidRPr="002915CB" w:rsidTr="00F33D64">
        <w:trPr>
          <w:trHeight w:val="166"/>
        </w:trPr>
        <w:tc>
          <w:tcPr>
            <w:cnfStyle w:val="001000000000" w:firstRow="0" w:lastRow="0" w:firstColumn="1" w:lastColumn="0" w:oddVBand="0" w:evenVBand="0" w:oddHBand="0" w:evenHBand="0" w:firstRowFirstColumn="0" w:firstRowLastColumn="0" w:lastRowFirstColumn="0" w:lastRowLastColumn="0"/>
            <w:tcW w:w="4315" w:type="dxa"/>
            <w:hideMark/>
          </w:tcPr>
          <w:p w:rsidR="007A2730" w:rsidRPr="002915CB" w:rsidRDefault="007A2730" w:rsidP="007A2730">
            <w:pPr>
              <w:rPr>
                <w:rFonts w:ascii="GHEA Grapalat" w:hAnsi="GHEA Grapalat"/>
                <w:sz w:val="20"/>
                <w:szCs w:val="20"/>
              </w:rPr>
            </w:pPr>
            <w:r w:rsidRPr="002915CB">
              <w:rPr>
                <w:rFonts w:ascii="Courier New" w:hAnsi="Courier New" w:cs="Courier New"/>
                <w:sz w:val="20"/>
                <w:szCs w:val="20"/>
              </w:rPr>
              <w:t> </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4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2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6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315" w:type="dxa"/>
            <w:hideMark/>
          </w:tcPr>
          <w:p w:rsidR="007A2730" w:rsidRPr="002915CB" w:rsidRDefault="007A2730" w:rsidP="007A2730">
            <w:pPr>
              <w:ind w:left="270" w:hanging="180"/>
              <w:rPr>
                <w:rFonts w:ascii="GHEA Grapalat" w:hAnsi="GHEA Grapalat"/>
                <w:b w:val="0"/>
                <w:bCs w:val="0"/>
                <w:sz w:val="20"/>
                <w:szCs w:val="20"/>
                <w:lang w:val="hy-AM"/>
              </w:rPr>
            </w:pPr>
            <w:r w:rsidRPr="002915CB">
              <w:rPr>
                <w:rFonts w:ascii="GHEA Grapalat" w:hAnsi="GHEA Grapalat"/>
                <w:b w:val="0"/>
                <w:bCs w:val="0"/>
                <w:sz w:val="20"/>
                <w:szCs w:val="20"/>
                <w:lang w:val="hy-AM"/>
              </w:rPr>
              <w:t>հանքագործական արդյունաբերություն և բացահանքերի շահագործում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295.4</w:t>
            </w:r>
          </w:p>
        </w:tc>
        <w:tc>
          <w:tcPr>
            <w:tcW w:w="134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24.7</w:t>
            </w:r>
          </w:p>
        </w:tc>
        <w:tc>
          <w:tcPr>
            <w:tcW w:w="122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89.7</w:t>
            </w:r>
          </w:p>
        </w:tc>
        <w:tc>
          <w:tcPr>
            <w:tcW w:w="186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-3.0</w:t>
            </w:r>
          </w:p>
        </w:tc>
      </w:tr>
      <w:tr w:rsidR="007A2730" w:rsidRPr="002915CB" w:rsidTr="007A2730">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left="270" w:hanging="180"/>
              <w:rPr>
                <w:rFonts w:ascii="GHEA Grapalat" w:hAnsi="GHEA Grapalat"/>
                <w:b w:val="0"/>
                <w:bCs w:val="0"/>
                <w:sz w:val="20"/>
                <w:szCs w:val="20"/>
              </w:rPr>
            </w:pPr>
            <w:r w:rsidRPr="002915CB">
              <w:rPr>
                <w:rFonts w:ascii="GHEA Grapalat" w:hAnsi="GHEA Grapalat"/>
                <w:b w:val="0"/>
                <w:bCs w:val="0"/>
                <w:sz w:val="20"/>
                <w:szCs w:val="20"/>
              </w:rPr>
              <w:t>մշակող արդյունաբերություն</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718.9</w:t>
            </w:r>
          </w:p>
        </w:tc>
        <w:tc>
          <w:tcPr>
            <w:tcW w:w="134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60.2</w:t>
            </w:r>
          </w:p>
        </w:tc>
        <w:tc>
          <w:tcPr>
            <w:tcW w:w="122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115.1</w:t>
            </w:r>
          </w:p>
        </w:tc>
        <w:tc>
          <w:tcPr>
            <w:tcW w:w="186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8.6</w:t>
            </w: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315" w:type="dxa"/>
            <w:hideMark/>
          </w:tcPr>
          <w:p w:rsidR="007A2730" w:rsidRPr="002915CB" w:rsidRDefault="007A2730" w:rsidP="007A2730">
            <w:pPr>
              <w:ind w:left="270" w:hanging="180"/>
              <w:rPr>
                <w:rFonts w:ascii="GHEA Grapalat" w:hAnsi="GHEA Grapalat"/>
                <w:b w:val="0"/>
                <w:bCs w:val="0"/>
                <w:sz w:val="20"/>
                <w:szCs w:val="20"/>
                <w:lang w:val="hy-AM"/>
              </w:rPr>
            </w:pPr>
            <w:r w:rsidRPr="002915CB">
              <w:rPr>
                <w:rFonts w:ascii="GHEA Grapalat" w:hAnsi="GHEA Grapalat"/>
                <w:b w:val="0"/>
                <w:bCs w:val="0"/>
                <w:sz w:val="20"/>
                <w:szCs w:val="20"/>
                <w:lang w:val="hy-AM"/>
              </w:rPr>
              <w:t xml:space="preserve"> էլեկտրաէներգիայի, գազի, գոլորշու և լավորակ օդի մատակարարում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166.8</w:t>
            </w:r>
          </w:p>
        </w:tc>
        <w:tc>
          <w:tcPr>
            <w:tcW w:w="134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14.0</w:t>
            </w:r>
          </w:p>
        </w:tc>
        <w:tc>
          <w:tcPr>
            <w:tcW w:w="122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101.0</w:t>
            </w:r>
          </w:p>
        </w:tc>
        <w:tc>
          <w:tcPr>
            <w:tcW w:w="1865"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0.1</w:t>
            </w:r>
          </w:p>
        </w:tc>
      </w:tr>
      <w:tr w:rsidR="007A2730" w:rsidRPr="002915CB" w:rsidTr="00F33D64">
        <w:trPr>
          <w:trHeight w:val="417"/>
        </w:trPr>
        <w:tc>
          <w:tcPr>
            <w:cnfStyle w:val="001000000000" w:firstRow="0" w:lastRow="0" w:firstColumn="1" w:lastColumn="0" w:oddVBand="0" w:evenVBand="0" w:oddHBand="0" w:evenHBand="0" w:firstRowFirstColumn="0" w:firstRowLastColumn="0" w:lastRowFirstColumn="0" w:lastRowLastColumn="0"/>
            <w:tcW w:w="4315" w:type="dxa"/>
            <w:hideMark/>
          </w:tcPr>
          <w:p w:rsidR="007A2730" w:rsidRPr="002915CB" w:rsidRDefault="007A2730" w:rsidP="007A2730">
            <w:pPr>
              <w:ind w:left="270" w:hanging="180"/>
              <w:rPr>
                <w:rFonts w:ascii="GHEA Grapalat" w:hAnsi="GHEA Grapalat"/>
                <w:b w:val="0"/>
                <w:bCs w:val="0"/>
                <w:sz w:val="20"/>
                <w:szCs w:val="20"/>
                <w:lang w:val="hy-AM"/>
              </w:rPr>
            </w:pPr>
            <w:r w:rsidRPr="002915CB">
              <w:rPr>
                <w:rFonts w:ascii="GHEA Grapalat" w:hAnsi="GHEA Grapalat"/>
                <w:b w:val="0"/>
                <w:bCs w:val="0"/>
                <w:sz w:val="20"/>
                <w:szCs w:val="20"/>
                <w:lang w:val="hy-AM"/>
              </w:rPr>
              <w:t>ջրամատակարարում, կոյուղի, թափոնների կառավարում և վերամշակում</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12.5</w:t>
            </w:r>
          </w:p>
        </w:tc>
        <w:tc>
          <w:tcPr>
            <w:tcW w:w="134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w:t>
            </w:r>
          </w:p>
        </w:tc>
        <w:tc>
          <w:tcPr>
            <w:tcW w:w="122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107.7</w:t>
            </w:r>
          </w:p>
        </w:tc>
        <w:tc>
          <w:tcPr>
            <w:tcW w:w="1865"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0.1</w:t>
            </w:r>
          </w:p>
        </w:tc>
      </w:tr>
    </w:tbl>
    <w:p w:rsidR="007A2730" w:rsidRPr="002915CB" w:rsidRDefault="007A2730" w:rsidP="007A2730">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7A2730" w:rsidRPr="002915CB" w:rsidTr="00F33D6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00" w:firstLine="800"/>
              <w:rPr>
                <w:rFonts w:ascii="GHEA Grapalat" w:hAnsi="GHEA Grapalat"/>
                <w:sz w:val="20"/>
                <w:szCs w:val="20"/>
              </w:rPr>
            </w:pPr>
            <w:r w:rsidRPr="002915CB">
              <w:rPr>
                <w:rFonts w:ascii="Courier New" w:hAnsi="Courier New" w:cs="Courier New"/>
                <w:sz w:val="20"/>
                <w:szCs w:val="20"/>
              </w:rPr>
              <w:t> </w:t>
            </w: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 դրամ)</w:t>
            </w:r>
          </w:p>
        </w:tc>
        <w:tc>
          <w:tcPr>
            <w:tcW w:w="135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6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2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rPr>
                <w:rFonts w:ascii="GHEA Grapalat" w:hAnsi="GHEA Grapalat"/>
                <w:bCs w:val="0"/>
                <w:sz w:val="20"/>
                <w:szCs w:val="20"/>
                <w:lang w:val="hy-AM"/>
              </w:rPr>
            </w:pPr>
            <w:r w:rsidRPr="002915CB">
              <w:rPr>
                <w:rFonts w:ascii="GHEA Grapalat" w:hAnsi="GHEA Grapalat"/>
                <w:bCs w:val="0"/>
                <w:sz w:val="20"/>
                <w:szCs w:val="20"/>
                <w:lang w:val="hy-AM"/>
              </w:rPr>
              <w:t>Գյուղատնտեսություն, անտառային տնտեսություն և ձկնորսություն</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321.6</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100.0</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96.6</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-3.4</w:t>
            </w:r>
          </w:p>
        </w:tc>
      </w:tr>
      <w:tr w:rsidR="007A2730" w:rsidRPr="002915CB" w:rsidTr="007A2730">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jc w:val="right"/>
              <w:rPr>
                <w:rFonts w:ascii="GHEA Grapalat" w:hAnsi="GHEA Grapalat"/>
                <w:sz w:val="20"/>
                <w:szCs w:val="20"/>
              </w:rPr>
            </w:pPr>
            <w:r w:rsidRPr="002915CB">
              <w:rPr>
                <w:rFonts w:ascii="GHEA Grapalat" w:hAnsi="GHEA Grapalat"/>
                <w:i/>
                <w:iCs/>
                <w:sz w:val="20"/>
                <w:szCs w:val="20"/>
              </w:rPr>
              <w:t>այդ թվում`</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բուսաբուծություն</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119.5</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37.2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91.2</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-3.5</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անասնաբուծություն</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172.4</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53.6</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97.0</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-1.6</w:t>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315" w:type="dxa"/>
            <w:noWrap/>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անտառային տնտեսություն</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0.7</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85.4</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-0.04</w:t>
            </w:r>
          </w:p>
        </w:tc>
      </w:tr>
      <w:tr w:rsidR="007A2730" w:rsidRPr="002915CB" w:rsidTr="00F33D64">
        <w:trPr>
          <w:trHeight w:val="11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ձկնորսություն</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29.0</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9.0</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126.0</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1.7</w:t>
            </w:r>
          </w:p>
        </w:tc>
      </w:tr>
    </w:tbl>
    <w:p w:rsidR="007A2730" w:rsidRPr="002915CB" w:rsidRDefault="007A2730" w:rsidP="007A2730">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7A2730" w:rsidRPr="002915CB" w:rsidTr="007A273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jc w:val="center"/>
              <w:rPr>
                <w:rFonts w:ascii="GHEA Grapalat" w:hAnsi="GHEA Grapalat"/>
                <w:i/>
                <w:iCs/>
                <w:sz w:val="20"/>
                <w:szCs w:val="20"/>
              </w:rPr>
            </w:pPr>
            <w:r w:rsidRPr="002915CB">
              <w:rPr>
                <w:rFonts w:ascii="GHEA Grapalat" w:hAnsi="GHEA Grapalat"/>
                <w:i/>
                <w:iCs/>
                <w:sz w:val="20"/>
                <w:szCs w:val="20"/>
              </w:rPr>
              <w:t>ըստ ֆինանսավորման աղբյուրների</w:t>
            </w: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 դրամ)</w:t>
            </w:r>
          </w:p>
        </w:tc>
        <w:tc>
          <w:tcPr>
            <w:tcW w:w="135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6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2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rPr>
                <w:rFonts w:ascii="GHEA Grapalat" w:hAnsi="GHEA Grapalat"/>
                <w:bCs w:val="0"/>
                <w:sz w:val="20"/>
                <w:szCs w:val="20"/>
              </w:rPr>
            </w:pPr>
            <w:r w:rsidRPr="002915CB">
              <w:rPr>
                <w:rFonts w:ascii="GHEA Grapalat" w:hAnsi="GHEA Grapalat"/>
                <w:bCs w:val="0"/>
                <w:sz w:val="20"/>
                <w:szCs w:val="20"/>
              </w:rPr>
              <w:t>Շինարարություն</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149.0</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100.0</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112.7</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12.7</w:t>
            </w:r>
          </w:p>
        </w:tc>
      </w:tr>
      <w:tr w:rsidR="007A2730" w:rsidRPr="002915CB" w:rsidTr="00F33D64">
        <w:trPr>
          <w:trHeight w:val="176"/>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jc w:val="right"/>
              <w:rPr>
                <w:rFonts w:ascii="GHEA Grapalat" w:hAnsi="GHEA Grapalat"/>
                <w:b w:val="0"/>
                <w:bCs w:val="0"/>
                <w:sz w:val="20"/>
                <w:szCs w:val="20"/>
              </w:rPr>
            </w:pPr>
            <w:r w:rsidRPr="002915CB">
              <w:rPr>
                <w:rFonts w:ascii="Courier New" w:hAnsi="Courier New" w:cs="Courier New"/>
                <w:b w:val="0"/>
                <w:bCs w:val="0"/>
                <w:sz w:val="20"/>
                <w:szCs w:val="20"/>
              </w:rPr>
              <w:t> </w:t>
            </w:r>
            <w:r w:rsidRPr="002915CB">
              <w:rPr>
                <w:rFonts w:ascii="GHEA Grapalat" w:hAnsi="GHEA Grapalat"/>
                <w:i/>
                <w:iCs/>
                <w:sz w:val="20"/>
                <w:szCs w:val="20"/>
              </w:rPr>
              <w:t>այդ թվում`</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 xml:space="preserve">պետական բյուջեի, </w:t>
            </w:r>
            <w:r w:rsidRPr="002915CB">
              <w:rPr>
                <w:rFonts w:ascii="GHEA Grapalat" w:hAnsi="GHEA Grapalat"/>
                <w:b w:val="0"/>
                <w:i/>
                <w:sz w:val="20"/>
                <w:szCs w:val="20"/>
              </w:rPr>
              <w:t>այդ թվում՝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37.4</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25.1</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101.8</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0.5</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jc w:val="center"/>
              <w:rPr>
                <w:rFonts w:ascii="GHEA Grapalat" w:hAnsi="GHEA Grapalat"/>
                <w:b w:val="0"/>
                <w:i/>
                <w:iCs/>
                <w:sz w:val="20"/>
                <w:szCs w:val="20"/>
              </w:rPr>
            </w:pPr>
            <w:r w:rsidRPr="002915CB">
              <w:rPr>
                <w:rFonts w:ascii="GHEA Grapalat" w:hAnsi="GHEA Grapalat"/>
                <w:b w:val="0"/>
                <w:i/>
                <w:iCs/>
                <w:sz w:val="20"/>
                <w:szCs w:val="20"/>
              </w:rPr>
              <w:t>միջազգային վարկերի</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14.1</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9.5</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59.3</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-7.5</w:t>
            </w: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համայնքների միջոցների</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5.5</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3.7</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192.6</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2.0</w:t>
            </w:r>
          </w:p>
        </w:tc>
      </w:tr>
      <w:tr w:rsidR="007A2730" w:rsidRPr="002915CB" w:rsidTr="00F33D64">
        <w:trPr>
          <w:trHeight w:val="164"/>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մարդասիրական օգնության միջոցների</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1.5</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1.0</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179.8</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0.5</w:t>
            </w: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 xml:space="preserve">կազմակերպությունների միջոցների, </w:t>
            </w:r>
            <w:r w:rsidRPr="002915CB">
              <w:rPr>
                <w:rFonts w:ascii="GHEA Grapalat" w:hAnsi="GHEA Grapalat"/>
                <w:b w:val="0"/>
                <w:i/>
                <w:sz w:val="20"/>
                <w:szCs w:val="20"/>
              </w:rPr>
              <w:t>այդ թվում՝</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69.1</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46.3</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127.2</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11.1</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58703C" w:rsidP="007A2730">
            <w:pPr>
              <w:ind w:firstLineChars="45" w:firstLine="90"/>
              <w:jc w:val="center"/>
              <w:rPr>
                <w:rFonts w:ascii="GHEA Grapalat" w:hAnsi="GHEA Grapalat"/>
                <w:b w:val="0"/>
                <w:i/>
                <w:iCs/>
                <w:sz w:val="20"/>
                <w:szCs w:val="20"/>
              </w:rPr>
            </w:pPr>
            <w:r>
              <w:rPr>
                <w:rFonts w:ascii="GHEA Grapalat" w:hAnsi="GHEA Grapalat"/>
                <w:b w:val="0"/>
                <w:i/>
                <w:iCs/>
                <w:sz w:val="20"/>
                <w:szCs w:val="20"/>
              </w:rPr>
              <w:t xml:space="preserve"> </w:t>
            </w:r>
            <w:r w:rsidR="007A2730" w:rsidRPr="002915CB">
              <w:rPr>
                <w:rFonts w:ascii="GHEA Grapalat" w:hAnsi="GHEA Grapalat"/>
                <w:b w:val="0"/>
                <w:i/>
                <w:iCs/>
                <w:sz w:val="20"/>
                <w:szCs w:val="20"/>
              </w:rPr>
              <w:t>օտարերկրյա ներդրողների</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5.0</w:t>
            </w:r>
          </w:p>
        </w:tc>
        <w:tc>
          <w:tcPr>
            <w:tcW w:w="135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3.3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59.9</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-2.2</w:t>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5" w:firstLine="90"/>
              <w:rPr>
                <w:rFonts w:ascii="GHEA Grapalat" w:hAnsi="GHEA Grapalat"/>
                <w:b w:val="0"/>
                <w:sz w:val="20"/>
                <w:szCs w:val="20"/>
              </w:rPr>
            </w:pPr>
            <w:r w:rsidRPr="002915CB">
              <w:rPr>
                <w:rFonts w:ascii="GHEA Grapalat" w:hAnsi="GHEA Grapalat"/>
                <w:b w:val="0"/>
                <w:sz w:val="20"/>
                <w:szCs w:val="20"/>
              </w:rPr>
              <w:t>բնակչության միջոցների</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35.5</w:t>
            </w:r>
          </w:p>
        </w:tc>
        <w:tc>
          <w:tcPr>
            <w:tcW w:w="135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23.8</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94.9</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915CB">
              <w:rPr>
                <w:rFonts w:ascii="GHEA Grapalat" w:hAnsi="GHEA Grapalat"/>
                <w:bCs/>
                <w:sz w:val="20"/>
                <w:szCs w:val="20"/>
              </w:rPr>
              <w:t>-1.4</w:t>
            </w:r>
          </w:p>
        </w:tc>
      </w:tr>
    </w:tbl>
    <w:p w:rsidR="007A2730" w:rsidRPr="002915CB" w:rsidRDefault="007A2730" w:rsidP="007A2730">
      <w:pPr>
        <w:rPr>
          <w:rFonts w:ascii="GHEA Grapalat" w:hAnsi="GHEA Grapalat" w:cs="Arial"/>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7A2730" w:rsidRPr="002915CB" w:rsidTr="00F33D64">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400" w:firstLine="800"/>
              <w:rPr>
                <w:rFonts w:ascii="GHEA Grapalat" w:hAnsi="GHEA Grapalat"/>
                <w:sz w:val="20"/>
                <w:szCs w:val="20"/>
              </w:rPr>
            </w:pPr>
            <w:r w:rsidRPr="002915CB">
              <w:rPr>
                <w:rFonts w:ascii="Courier New" w:hAnsi="Courier New" w:cs="Courier New"/>
                <w:sz w:val="20"/>
                <w:szCs w:val="20"/>
              </w:rPr>
              <w:t> </w:t>
            </w: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w:t>
            </w:r>
            <w:r w:rsidR="0058703C">
              <w:rPr>
                <w:rFonts w:ascii="GHEA Grapalat" w:hAnsi="GHEA Grapalat"/>
                <w:bCs w:val="0"/>
                <w:sz w:val="20"/>
                <w:szCs w:val="20"/>
              </w:rPr>
              <w:t xml:space="preserve"> </w:t>
            </w:r>
            <w:r w:rsidRPr="002915CB">
              <w:rPr>
                <w:rFonts w:ascii="GHEA Grapalat" w:hAnsi="GHEA Grapalat"/>
                <w:bCs w:val="0"/>
                <w:sz w:val="20"/>
                <w:szCs w:val="20"/>
              </w:rPr>
              <w:t>դրամ)</w:t>
            </w:r>
          </w:p>
        </w:tc>
        <w:tc>
          <w:tcPr>
            <w:tcW w:w="1394"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16"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2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rPr>
                <w:rFonts w:ascii="GHEA Grapalat" w:hAnsi="GHEA Grapalat"/>
                <w:bCs w:val="0"/>
                <w:sz w:val="20"/>
                <w:szCs w:val="20"/>
              </w:rPr>
            </w:pPr>
            <w:r w:rsidRPr="002915CB">
              <w:rPr>
                <w:rFonts w:ascii="GHEA Grapalat" w:hAnsi="GHEA Grapalat"/>
                <w:bCs w:val="0"/>
                <w:sz w:val="20"/>
                <w:szCs w:val="20"/>
              </w:rPr>
              <w:t>Առևտուր</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1800.1</w:t>
            </w:r>
          </w:p>
        </w:tc>
        <w:tc>
          <w:tcPr>
            <w:tcW w:w="1394"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100.0</w:t>
            </w:r>
          </w:p>
        </w:tc>
        <w:tc>
          <w:tcPr>
            <w:tcW w:w="1216"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110.7</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10.7</w:t>
            </w:r>
          </w:p>
        </w:tc>
      </w:tr>
      <w:tr w:rsidR="007A2730" w:rsidRPr="002915CB" w:rsidTr="00F33D64">
        <w:trPr>
          <w:trHeight w:val="218"/>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jc w:val="right"/>
              <w:rPr>
                <w:rFonts w:ascii="GHEA Grapalat" w:hAnsi="GHEA Grapalat"/>
                <w:b w:val="0"/>
                <w:bCs w:val="0"/>
                <w:sz w:val="20"/>
                <w:szCs w:val="20"/>
              </w:rPr>
            </w:pPr>
            <w:r w:rsidRPr="002915CB">
              <w:rPr>
                <w:rFonts w:ascii="Courier New" w:hAnsi="Courier New" w:cs="Courier New"/>
                <w:b w:val="0"/>
                <w:bCs w:val="0"/>
                <w:sz w:val="20"/>
                <w:szCs w:val="20"/>
              </w:rPr>
              <w:t> </w:t>
            </w:r>
            <w:r w:rsidRPr="002915CB">
              <w:rPr>
                <w:rFonts w:ascii="GHEA Grapalat" w:hAnsi="GHEA Grapalat"/>
                <w:i/>
                <w:iCs/>
                <w:sz w:val="20"/>
                <w:szCs w:val="20"/>
              </w:rPr>
              <w:t>այդ թվում`</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A2730" w:rsidRPr="002915CB" w:rsidTr="00516B2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200" w:firstLine="400"/>
              <w:rPr>
                <w:rFonts w:ascii="GHEA Grapalat" w:hAnsi="GHEA Grapalat"/>
                <w:b w:val="0"/>
                <w:sz w:val="20"/>
                <w:szCs w:val="20"/>
              </w:rPr>
            </w:pPr>
            <w:r w:rsidRPr="002915CB">
              <w:rPr>
                <w:rFonts w:ascii="GHEA Grapalat" w:hAnsi="GHEA Grapalat"/>
                <w:b w:val="0"/>
                <w:sz w:val="20"/>
                <w:szCs w:val="20"/>
              </w:rPr>
              <w:t>մանրածախ առևտուր</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720.2</w:t>
            </w:r>
          </w:p>
        </w:tc>
        <w:tc>
          <w:tcPr>
            <w:tcW w:w="1394"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40.0</w:t>
            </w:r>
          </w:p>
        </w:tc>
        <w:tc>
          <w:tcPr>
            <w:tcW w:w="1216"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102.0</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200" w:firstLine="400"/>
              <w:rPr>
                <w:rFonts w:ascii="GHEA Grapalat" w:hAnsi="GHEA Grapalat"/>
                <w:b w:val="0"/>
                <w:sz w:val="20"/>
                <w:szCs w:val="20"/>
              </w:rPr>
            </w:pPr>
            <w:r w:rsidRPr="002915CB">
              <w:rPr>
                <w:rFonts w:ascii="GHEA Grapalat" w:hAnsi="GHEA Grapalat"/>
                <w:b w:val="0"/>
                <w:sz w:val="20"/>
                <w:szCs w:val="20"/>
              </w:rPr>
              <w:lastRenderedPageBreak/>
              <w:t>մեծածախ առևտուր</w:t>
            </w:r>
          </w:p>
        </w:tc>
        <w:tc>
          <w:tcPr>
            <w:tcW w:w="1440"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1012.0</w:t>
            </w:r>
          </w:p>
        </w:tc>
        <w:tc>
          <w:tcPr>
            <w:tcW w:w="1394"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56.2</w:t>
            </w:r>
          </w:p>
        </w:tc>
        <w:tc>
          <w:tcPr>
            <w:tcW w:w="1216"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115.4</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8.3</w:t>
            </w:r>
          </w:p>
        </w:tc>
      </w:tr>
      <w:tr w:rsidR="007A2730" w:rsidRPr="002915CB" w:rsidTr="00F33D6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A2730" w:rsidRPr="002915CB" w:rsidRDefault="007A2730" w:rsidP="007A2730">
            <w:pPr>
              <w:ind w:firstLineChars="200" w:firstLine="400"/>
              <w:rPr>
                <w:rFonts w:ascii="GHEA Grapalat" w:hAnsi="GHEA Grapalat"/>
                <w:b w:val="0"/>
                <w:sz w:val="20"/>
                <w:szCs w:val="20"/>
              </w:rPr>
            </w:pPr>
            <w:r w:rsidRPr="002915CB">
              <w:rPr>
                <w:rFonts w:ascii="GHEA Grapalat" w:hAnsi="GHEA Grapalat"/>
                <w:b w:val="0"/>
                <w:sz w:val="20"/>
                <w:szCs w:val="20"/>
              </w:rPr>
              <w:t>ավտոմեքենաների առևտուր</w:t>
            </w:r>
          </w:p>
        </w:tc>
        <w:tc>
          <w:tcPr>
            <w:tcW w:w="1440"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67.9</w:t>
            </w:r>
          </w:p>
        </w:tc>
        <w:tc>
          <w:tcPr>
            <w:tcW w:w="1394"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3.8</w:t>
            </w:r>
          </w:p>
        </w:tc>
        <w:tc>
          <w:tcPr>
            <w:tcW w:w="1216"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152.6</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1.6</w:t>
            </w:r>
          </w:p>
        </w:tc>
      </w:tr>
    </w:tbl>
    <w:p w:rsidR="007A2730" w:rsidRPr="002915CB" w:rsidRDefault="007A2730" w:rsidP="007A2730">
      <w:pPr>
        <w:rPr>
          <w:rFonts w:ascii="GHEA Grapalat" w:hAnsi="GHEA Grapalat"/>
          <w:b/>
          <w:sz w:val="20"/>
          <w:szCs w:val="20"/>
        </w:rPr>
      </w:pPr>
    </w:p>
    <w:p w:rsidR="007A2730" w:rsidRPr="002915CB" w:rsidRDefault="007A2730" w:rsidP="007A2730">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7A2730" w:rsidRPr="002915CB" w:rsidTr="007A273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7A2730" w:rsidRPr="002915CB" w:rsidRDefault="007A2730" w:rsidP="007A2730">
            <w:pPr>
              <w:rPr>
                <w:rFonts w:ascii="GHEA Grapalat" w:hAnsi="GHEA Grapalat"/>
                <w:sz w:val="20"/>
                <w:szCs w:val="20"/>
              </w:rPr>
            </w:pPr>
            <w:r w:rsidRPr="002915CB">
              <w:rPr>
                <w:rFonts w:ascii="Courier New" w:hAnsi="Courier New" w:cs="Courier New"/>
                <w:sz w:val="20"/>
                <w:szCs w:val="20"/>
              </w:rPr>
              <w:t> </w:t>
            </w:r>
          </w:p>
        </w:tc>
        <w:tc>
          <w:tcPr>
            <w:tcW w:w="144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Արժեք (մլրդ դրամ)</w:t>
            </w:r>
          </w:p>
        </w:tc>
        <w:tc>
          <w:tcPr>
            <w:tcW w:w="126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Կշիռը (%)</w:t>
            </w:r>
          </w:p>
        </w:tc>
        <w:tc>
          <w:tcPr>
            <w:tcW w:w="1260"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Աճի ինդեքս</w:t>
            </w:r>
          </w:p>
        </w:tc>
        <w:tc>
          <w:tcPr>
            <w:tcW w:w="1823" w:type="dxa"/>
            <w:vAlign w:val="center"/>
            <w:hideMark/>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2915CB">
              <w:rPr>
                <w:rFonts w:ascii="GHEA Grapalat" w:hAnsi="GHEA Grapalat"/>
                <w:bCs w:val="0"/>
                <w:sz w:val="20"/>
                <w:szCs w:val="20"/>
              </w:rPr>
              <w:t>Նպաստում (տոկոսային կետ)</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7A2730" w:rsidRPr="002915CB" w:rsidRDefault="007A2730" w:rsidP="007A2730">
            <w:pPr>
              <w:rPr>
                <w:rFonts w:ascii="GHEA Grapalat" w:hAnsi="GHEA Grapalat"/>
                <w:bCs w:val="0"/>
                <w:sz w:val="20"/>
                <w:szCs w:val="20"/>
              </w:rPr>
            </w:pPr>
            <w:r w:rsidRPr="002915CB">
              <w:rPr>
                <w:rFonts w:ascii="GHEA Grapalat" w:hAnsi="GHEA Grapalat"/>
                <w:bCs w:val="0"/>
                <w:sz w:val="20"/>
                <w:szCs w:val="20"/>
              </w:rPr>
              <w:t>Ծառայություններ</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1133.3</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100.0</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126.9</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b/>
                <w:sz w:val="20"/>
                <w:szCs w:val="20"/>
              </w:rPr>
              <w:t>26.9</w:t>
            </w:r>
          </w:p>
        </w:tc>
      </w:tr>
      <w:tr w:rsidR="007A2730" w:rsidRPr="002915CB" w:rsidTr="007A2730">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7A2730" w:rsidRPr="002915CB" w:rsidRDefault="007A2730" w:rsidP="007A2730">
            <w:pPr>
              <w:rPr>
                <w:rFonts w:ascii="GHEA Grapalat" w:hAnsi="GHEA Grapalat"/>
                <w:b w:val="0"/>
                <w:bCs w:val="0"/>
                <w:sz w:val="20"/>
                <w:szCs w:val="20"/>
              </w:rPr>
            </w:pPr>
            <w:r w:rsidRPr="002915CB">
              <w:rPr>
                <w:rFonts w:ascii="Courier New" w:hAnsi="Courier New" w:cs="Courier New"/>
                <w:b w:val="0"/>
                <w:bCs w:val="0"/>
                <w:sz w:val="20"/>
                <w:szCs w:val="20"/>
              </w:rPr>
              <w:t> </w:t>
            </w:r>
            <w:r w:rsidRPr="002915CB">
              <w:rPr>
                <w:rFonts w:ascii="GHEA Grapalat" w:hAnsi="GHEA Grapalat"/>
                <w:i/>
                <w:iCs/>
                <w:sz w:val="20"/>
                <w:szCs w:val="20"/>
              </w:rPr>
              <w:t>այդ թվում`</w:t>
            </w:r>
          </w:p>
        </w:tc>
        <w:tc>
          <w:tcPr>
            <w:tcW w:w="1440" w:type="dxa"/>
            <w:noWrap/>
            <w:vAlign w:val="center"/>
          </w:tcPr>
          <w:p w:rsidR="007A2730" w:rsidRPr="002915CB" w:rsidRDefault="007A2730" w:rsidP="007A2730">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A2730" w:rsidRPr="002915CB" w:rsidRDefault="007A2730" w:rsidP="007A2730">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A2730" w:rsidRPr="002915CB" w:rsidRDefault="007A2730" w:rsidP="007A2730">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A2730" w:rsidRPr="002915CB" w:rsidRDefault="007A2730" w:rsidP="007A2730">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lang w:val="hy-AM"/>
              </w:rPr>
            </w:pPr>
            <w:r w:rsidRPr="002915CB">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102.2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9.0</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129.0</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2.4</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մշակույթ, զվարճություններ և հանգիստ</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125.3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11.1</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106.1</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 xml:space="preserve">կրթություն </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31.4</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2.8</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115.5</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0.5</w:t>
            </w:r>
          </w:p>
        </w:tc>
      </w:tr>
      <w:tr w:rsidR="007A2730" w:rsidRPr="002915CB" w:rsidTr="007A2730">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lang w:val="hy-AM"/>
              </w:rPr>
            </w:pPr>
            <w:r w:rsidRPr="002915CB">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62.3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5.5</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110.7</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0.7</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lang w:val="hy-AM"/>
              </w:rPr>
            </w:pPr>
            <w:r w:rsidRPr="002915CB">
              <w:rPr>
                <w:rFonts w:ascii="GHEA Grapalat" w:hAnsi="GHEA Grapalat"/>
                <w:b w:val="0"/>
                <w:sz w:val="20"/>
                <w:szCs w:val="20"/>
                <w:lang w:val="hy-AM"/>
              </w:rPr>
              <w:t>անշարժ գույքի հետ կապված գործունեություն</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44.2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3.9</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114.4</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0.6</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 xml:space="preserve">տեղեկատվություն և կապ </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193.3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17.1</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127.2</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4.8</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 xml:space="preserve">տրանսպորտ </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133.4</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11.8</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143.2</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4.5</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վարչարարական և օժանդակ գործունեություն</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37.5</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3.3</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126.9</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lang w:val="hy-AM"/>
              </w:rPr>
            </w:pPr>
            <w:r w:rsidRPr="002915CB">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51.2</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4.5</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118.8</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r>
      <w:tr w:rsidR="007A2730" w:rsidRPr="002915CB" w:rsidTr="007A2730">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ֆինանսական և ապահովագրական գործունեություն</w:t>
            </w:r>
          </w:p>
        </w:tc>
        <w:tc>
          <w:tcPr>
            <w:tcW w:w="144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341.7</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30.2</w:t>
            </w:r>
          </w:p>
        </w:tc>
        <w:tc>
          <w:tcPr>
            <w:tcW w:w="1260" w:type="dxa"/>
            <w:noWrap/>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138.7</w:t>
            </w:r>
          </w:p>
        </w:tc>
        <w:tc>
          <w:tcPr>
            <w:tcW w:w="1823" w:type="dxa"/>
            <w:vAlign w:val="center"/>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10.5</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7A2730" w:rsidRPr="002915CB" w:rsidRDefault="007A2730" w:rsidP="007A2730">
            <w:pPr>
              <w:ind w:leftChars="82" w:left="377" w:hangingChars="90" w:hanging="180"/>
              <w:rPr>
                <w:rFonts w:ascii="GHEA Grapalat" w:hAnsi="GHEA Grapalat"/>
                <w:b w:val="0"/>
                <w:sz w:val="20"/>
                <w:szCs w:val="20"/>
              </w:rPr>
            </w:pPr>
            <w:r w:rsidRPr="002915CB">
              <w:rPr>
                <w:rFonts w:ascii="GHEA Grapalat" w:hAnsi="GHEA Grapalat"/>
                <w:b w:val="0"/>
                <w:sz w:val="20"/>
                <w:szCs w:val="20"/>
              </w:rPr>
              <w:t>սպասարկման այլ ծառայություններ</w:t>
            </w:r>
          </w:p>
        </w:tc>
        <w:tc>
          <w:tcPr>
            <w:tcW w:w="144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10.7</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0.9</w:t>
            </w:r>
          </w:p>
        </w:tc>
        <w:tc>
          <w:tcPr>
            <w:tcW w:w="1260" w:type="dxa"/>
            <w:noWrap/>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124.0</w:t>
            </w:r>
          </w:p>
        </w:tc>
        <w:tc>
          <w:tcPr>
            <w:tcW w:w="1823" w:type="dxa"/>
            <w:vAlign w:val="center"/>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0.2</w:t>
            </w:r>
          </w:p>
        </w:tc>
      </w:tr>
    </w:tbl>
    <w:p w:rsidR="007A2730" w:rsidRPr="002915CB" w:rsidRDefault="007A2730" w:rsidP="007A2730">
      <w:pPr>
        <w:rPr>
          <w:rFonts w:ascii="GHEA Grapalat" w:hAnsi="GHEA Grapalat"/>
          <w:b/>
          <w:sz w:val="20"/>
          <w:szCs w:val="20"/>
        </w:rPr>
      </w:pPr>
    </w:p>
    <w:p w:rsidR="007A2730" w:rsidRPr="002915CB" w:rsidRDefault="007A2730" w:rsidP="007A2730">
      <w:pPr>
        <w:jc w:val="center"/>
        <w:rPr>
          <w:rFonts w:ascii="GHEA Grapalat" w:hAnsi="GHEA Grapalat" w:cs="Arial"/>
          <w:sz w:val="18"/>
          <w:szCs w:val="20"/>
        </w:rPr>
      </w:pPr>
    </w:p>
    <w:p w:rsidR="007A2730" w:rsidRPr="002915CB" w:rsidRDefault="007A2730" w:rsidP="007A2730">
      <w:pPr>
        <w:jc w:val="center"/>
        <w:rPr>
          <w:rFonts w:ascii="GHEA Grapalat" w:hAnsi="GHEA Grapalat" w:cs="Arial"/>
          <w:szCs w:val="20"/>
        </w:rPr>
      </w:pPr>
      <w:r w:rsidRPr="002915CB">
        <w:rPr>
          <w:rFonts w:ascii="GHEA Grapalat" w:hAnsi="GHEA Grapalat"/>
          <w:b/>
          <w:sz w:val="22"/>
          <w:szCs w:val="20"/>
        </w:rPr>
        <w:t xml:space="preserve">Աղյուսակ 2. </w:t>
      </w:r>
      <w:r w:rsidRPr="002915CB">
        <w:rPr>
          <w:rFonts w:ascii="GHEA Grapalat" w:hAnsi="GHEA Grapalat"/>
          <w:sz w:val="22"/>
          <w:szCs w:val="20"/>
        </w:rPr>
        <w:t xml:space="preserve">Արտահանման ապրանքային կառուցվածքը և նպաստումները 2022 թվականի </w:t>
      </w:r>
      <w:r w:rsidRPr="002915CB">
        <w:rPr>
          <w:rFonts w:ascii="GHEA Grapalat" w:hAnsi="GHEA Grapalat" w:cs="Arial"/>
          <w:sz w:val="22"/>
          <w:szCs w:val="20"/>
        </w:rPr>
        <w:t>հունվար</w:t>
      </w:r>
      <w:r w:rsidRPr="002915CB">
        <w:rPr>
          <w:rFonts w:ascii="GHEA Grapalat" w:hAnsi="GHEA Grapalat"/>
          <w:sz w:val="22"/>
          <w:szCs w:val="20"/>
        </w:rPr>
        <w:t>-</w:t>
      </w:r>
      <w:r w:rsidRPr="002915CB">
        <w:rPr>
          <w:rFonts w:ascii="GHEA Grapalat" w:hAnsi="GHEA Grapalat" w:cs="Arial"/>
          <w:sz w:val="22"/>
          <w:szCs w:val="20"/>
        </w:rPr>
        <w:t>հունիս ամիսների</w:t>
      </w:r>
      <w:r w:rsidRPr="002915CB">
        <w:rPr>
          <w:rFonts w:ascii="GHEA Grapalat" w:hAnsi="GHEA Grapalat"/>
          <w:sz w:val="22"/>
          <w:szCs w:val="20"/>
        </w:rPr>
        <w:t xml:space="preserve"> արտահանման աճին</w:t>
      </w: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7A2730" w:rsidRPr="002915CB" w:rsidTr="007A2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sz w:val="20"/>
                <w:szCs w:val="20"/>
              </w:rPr>
              <w:t>ԱՐՏԱՀԱՆՈՒՄ</w:t>
            </w:r>
          </w:p>
        </w:tc>
        <w:tc>
          <w:tcPr>
            <w:tcW w:w="1134"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bCs w:val="0"/>
                <w:sz w:val="20"/>
                <w:szCs w:val="20"/>
              </w:rPr>
              <w:t xml:space="preserve">Ծավալ </w:t>
            </w:r>
            <w:r w:rsidRPr="002915CB">
              <w:rPr>
                <w:rFonts w:ascii="GHEA Grapalat" w:hAnsi="GHEA Grapalat" w:cs="Sylfaen"/>
                <w:sz w:val="20"/>
                <w:szCs w:val="20"/>
              </w:rPr>
              <w:t>(մլն ԱՄՆ դոլար)</w:t>
            </w:r>
          </w:p>
        </w:tc>
        <w:tc>
          <w:tcPr>
            <w:tcW w:w="992"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Sylfaen"/>
                <w:sz w:val="20"/>
                <w:szCs w:val="20"/>
              </w:rPr>
              <w:t>Կշիռ</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w:t>
            </w:r>
            <w:r w:rsidRPr="002915CB">
              <w:rPr>
                <w:rFonts w:ascii="GHEA Grapalat" w:hAnsi="GHEA Grapalat" w:cs="Sylfaen"/>
                <w:bCs w:val="0"/>
                <w:sz w:val="20"/>
                <w:szCs w:val="20"/>
                <w:lang w:val="ru-RU"/>
              </w:rPr>
              <w:t>)</w:t>
            </w:r>
          </w:p>
        </w:tc>
        <w:tc>
          <w:tcPr>
            <w:tcW w:w="1015"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Sylfaen"/>
                <w:sz w:val="20"/>
                <w:szCs w:val="20"/>
              </w:rPr>
              <w:t>Աճ</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w:t>
            </w:r>
            <w:r w:rsidRPr="002915CB">
              <w:rPr>
                <w:rFonts w:ascii="GHEA Grapalat" w:hAnsi="GHEA Grapalat" w:cs="Sylfaen"/>
                <w:bCs w:val="0"/>
                <w:sz w:val="20"/>
                <w:szCs w:val="20"/>
                <w:lang w:val="ru-RU"/>
              </w:rPr>
              <w:t>)</w:t>
            </w:r>
          </w:p>
        </w:tc>
        <w:tc>
          <w:tcPr>
            <w:tcW w:w="1395"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915CB">
              <w:rPr>
                <w:rFonts w:ascii="GHEA Grapalat" w:hAnsi="GHEA Grapalat" w:cs="Sylfaen"/>
                <w:sz w:val="20"/>
                <w:szCs w:val="20"/>
              </w:rPr>
              <w:t>Նպաստում</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տոկոսային կետ</w:t>
            </w:r>
            <w:r w:rsidRPr="002915CB">
              <w:rPr>
                <w:rFonts w:ascii="GHEA Grapalat" w:hAnsi="GHEA Grapalat" w:cs="Sylfaen"/>
                <w:bCs w:val="0"/>
                <w:sz w:val="20"/>
                <w:szCs w:val="20"/>
                <w:lang w:val="ru-RU"/>
              </w:rPr>
              <w:t>)</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 xml:space="preserve">ԸՆԴԱՄԵՆԸ </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1881.3</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100.0</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36.3</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36.3</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56.7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3.0</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34.3</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1.0</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Բուսական ծագման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103.4</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5.5</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22.7</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1.4</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2836.2</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Պատրաստի սննդի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351.2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18.7</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36.0</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6.7</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Հանքահումքային արտադրանք</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sz w:val="20"/>
                <w:szCs w:val="20"/>
              </w:rPr>
              <w:t>551.7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sz w:val="20"/>
                <w:szCs w:val="20"/>
              </w:rPr>
              <w:t>29.3</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sz w:val="20"/>
                <w:szCs w:val="20"/>
              </w:rPr>
              <w:t>4.3</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sz w:val="20"/>
                <w:szCs w:val="20"/>
              </w:rPr>
              <w:t>1.6</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26.7</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1.4</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67.6</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0.8</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15.5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0.8</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97.2</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0.6</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4.1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212.5</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Փայտ և փայտյա իրեր</w:t>
            </w:r>
            <w:r w:rsidR="0058703C">
              <w:rPr>
                <w:rFonts w:ascii="GHEA Grapalat" w:hAnsi="GHEA Grapalat"/>
                <w:b w:val="0"/>
                <w:color w:val="000000"/>
                <w:sz w:val="20"/>
                <w:szCs w:val="20"/>
              </w:rPr>
              <w:t xml:space="preserve"> </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215.3</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Թուղթ և թղթից</w:t>
            </w:r>
            <w:r w:rsidR="0058703C">
              <w:rPr>
                <w:rFonts w:ascii="GHEA Grapalat" w:hAnsi="GHEA Grapalat"/>
                <w:b w:val="0"/>
                <w:color w:val="000000"/>
                <w:sz w:val="20"/>
                <w:szCs w:val="20"/>
              </w:rPr>
              <w:t xml:space="preserve"> </w:t>
            </w:r>
            <w:r w:rsidRPr="002915CB">
              <w:rPr>
                <w:rFonts w:ascii="GHEA Grapalat" w:hAnsi="GHEA Grapalat"/>
                <w:b w:val="0"/>
                <w:color w:val="000000"/>
                <w:sz w:val="20"/>
                <w:szCs w:val="20"/>
              </w:rPr>
              <w:t>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2.4</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223.7</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bCs w:val="0"/>
                <w:sz w:val="20"/>
                <w:szCs w:val="20"/>
              </w:rPr>
            </w:pPr>
            <w:r w:rsidRPr="002915CB">
              <w:rPr>
                <w:rFonts w:ascii="GHEA Grapalat" w:hAnsi="GHEA Grapalat"/>
                <w:b w:val="0"/>
                <w:bCs w:val="0"/>
                <w:color w:val="000000"/>
                <w:sz w:val="20"/>
                <w:szCs w:val="20"/>
              </w:rPr>
              <w:t>Մանածագործական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84.6</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4.5</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4.5</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0.3</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Կոշկեղեն, գլխարկներ, հովանոցներ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72.6</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0.1</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Իրեր քարից, գիպսից, ցեմենտից</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13.0</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0.7</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36.1</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305.6</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16.2</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122.5</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12.2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232.7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12.4</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46.6</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2915CB">
              <w:rPr>
                <w:rFonts w:ascii="GHEA Grapalat" w:hAnsi="GHEA Grapalat" w:cs="Arial"/>
                <w:b/>
                <w:bCs/>
                <w:sz w:val="20"/>
                <w:szCs w:val="20"/>
              </w:rPr>
              <w:t>5.4</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Cs w:val="0"/>
                <w:sz w:val="20"/>
                <w:szCs w:val="20"/>
              </w:rPr>
            </w:pPr>
            <w:r w:rsidRPr="002915CB">
              <w:rPr>
                <w:rFonts w:ascii="GHEA Grapalat" w:hAnsi="GHEA Grapalat"/>
                <w:bCs w:val="0"/>
                <w:color w:val="000000"/>
                <w:sz w:val="20"/>
                <w:szCs w:val="20"/>
              </w:rPr>
              <w:lastRenderedPageBreak/>
              <w:t>Մեքենաներ, սարքավորումներ և մեխանիզմներ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b/>
                <w:sz w:val="20"/>
                <w:szCs w:val="20"/>
              </w:rPr>
              <w:t>67.8</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b/>
                <w:sz w:val="20"/>
                <w:szCs w:val="20"/>
              </w:rPr>
              <w:t>3.6</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b/>
                <w:sz w:val="20"/>
                <w:szCs w:val="20"/>
              </w:rPr>
              <w:t>193.3</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2915CB">
              <w:rPr>
                <w:rFonts w:ascii="GHEA Grapalat" w:hAnsi="GHEA Grapalat" w:cs="Arial"/>
                <w:b/>
                <w:sz w:val="20"/>
                <w:szCs w:val="20"/>
              </w:rPr>
              <w:t>3.2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22.5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1.2</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226.9</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Սարքեր և ապարատներ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25.1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1.3</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83.5</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0.8</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Տարբեր արդյունաբերական ապրանքներ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9.7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0.5</w:t>
            </w:r>
          </w:p>
        </w:tc>
        <w:tc>
          <w:tcPr>
            <w:tcW w:w="101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30.5</w:t>
            </w:r>
          </w:p>
        </w:tc>
        <w:tc>
          <w:tcPr>
            <w:tcW w:w="1395"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Արվեստի ստեղծագործություններ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3.2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c>
          <w:tcPr>
            <w:tcW w:w="101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661.2</w:t>
            </w:r>
          </w:p>
        </w:tc>
        <w:tc>
          <w:tcPr>
            <w:tcW w:w="1395"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2915CB">
              <w:rPr>
                <w:rFonts w:ascii="GHEA Grapalat" w:hAnsi="GHEA Grapalat" w:cs="Arial"/>
                <w:sz w:val="20"/>
                <w:szCs w:val="20"/>
              </w:rPr>
              <w:t>0.2</w:t>
            </w:r>
          </w:p>
        </w:tc>
      </w:tr>
    </w:tbl>
    <w:p w:rsidR="007A2730" w:rsidRPr="002915CB" w:rsidRDefault="007A2730" w:rsidP="007A2730">
      <w:pPr>
        <w:jc w:val="center"/>
        <w:rPr>
          <w:rFonts w:ascii="GHEA Grapalat" w:hAnsi="GHEA Grapalat"/>
          <w:b/>
          <w:sz w:val="22"/>
          <w:szCs w:val="20"/>
        </w:rPr>
      </w:pPr>
    </w:p>
    <w:p w:rsidR="007A2730" w:rsidRPr="002915CB" w:rsidRDefault="007A2730" w:rsidP="007A2730">
      <w:pPr>
        <w:jc w:val="center"/>
        <w:rPr>
          <w:rFonts w:ascii="GHEA Grapalat" w:hAnsi="GHEA Grapalat"/>
          <w:sz w:val="22"/>
          <w:szCs w:val="20"/>
        </w:rPr>
      </w:pPr>
      <w:r w:rsidRPr="002915CB">
        <w:rPr>
          <w:rFonts w:ascii="GHEA Grapalat" w:hAnsi="GHEA Grapalat"/>
          <w:b/>
          <w:sz w:val="22"/>
          <w:szCs w:val="20"/>
        </w:rPr>
        <w:t xml:space="preserve">Աղյուսակ 3. </w:t>
      </w:r>
      <w:r w:rsidRPr="002915CB">
        <w:rPr>
          <w:rFonts w:ascii="GHEA Grapalat" w:hAnsi="GHEA Grapalat"/>
          <w:sz w:val="22"/>
          <w:szCs w:val="20"/>
        </w:rPr>
        <w:t xml:space="preserve">Ներմուծման ապրանքային կառուցվածքը և նպաստումները 2022 թվականի հունվար-հունիս </w:t>
      </w:r>
      <w:r w:rsidRPr="002915CB">
        <w:rPr>
          <w:rFonts w:ascii="GHEA Grapalat" w:hAnsi="GHEA Grapalat" w:cs="Arial"/>
          <w:sz w:val="22"/>
          <w:szCs w:val="20"/>
        </w:rPr>
        <w:t xml:space="preserve">ամիսների </w:t>
      </w:r>
      <w:r w:rsidRPr="002915CB">
        <w:rPr>
          <w:rFonts w:ascii="GHEA Grapalat" w:hAnsi="GHEA Grapalat"/>
          <w:sz w:val="22"/>
          <w:szCs w:val="20"/>
        </w:rPr>
        <w:t>ներմուծման աճին</w:t>
      </w: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7A2730" w:rsidRPr="002915CB" w:rsidTr="007A2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bCs w:val="0"/>
                <w:sz w:val="20"/>
                <w:szCs w:val="20"/>
              </w:rPr>
            </w:pPr>
            <w:r w:rsidRPr="002915CB">
              <w:rPr>
                <w:rFonts w:ascii="GHEA Grapalat" w:hAnsi="GHEA Grapalat"/>
                <w:sz w:val="20"/>
                <w:szCs w:val="20"/>
              </w:rPr>
              <w:t>ՆԵՐՄՈՒԾՈՒՄ</w:t>
            </w:r>
          </w:p>
          <w:p w:rsidR="007A2730" w:rsidRPr="002915CB" w:rsidRDefault="007A2730" w:rsidP="007A2730">
            <w:pPr>
              <w:rPr>
                <w:rFonts w:ascii="GHEA Grapalat" w:hAnsi="GHEA Grapalat"/>
                <w:sz w:val="20"/>
                <w:szCs w:val="20"/>
              </w:rPr>
            </w:pPr>
          </w:p>
        </w:tc>
        <w:tc>
          <w:tcPr>
            <w:tcW w:w="1134"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bCs w:val="0"/>
                <w:sz w:val="20"/>
                <w:szCs w:val="20"/>
              </w:rPr>
              <w:t xml:space="preserve">Ծավալ </w:t>
            </w:r>
            <w:r w:rsidRPr="002915CB">
              <w:rPr>
                <w:rFonts w:ascii="GHEA Grapalat" w:hAnsi="GHEA Grapalat"/>
                <w:sz w:val="20"/>
                <w:szCs w:val="20"/>
              </w:rPr>
              <w:t>(մլն ԱՄՆ դոլար)</w:t>
            </w:r>
          </w:p>
        </w:tc>
        <w:tc>
          <w:tcPr>
            <w:tcW w:w="992"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Sylfaen"/>
                <w:sz w:val="20"/>
                <w:szCs w:val="20"/>
              </w:rPr>
              <w:t>Կշիռ</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w:t>
            </w:r>
            <w:r w:rsidRPr="002915CB">
              <w:rPr>
                <w:rFonts w:ascii="GHEA Grapalat" w:hAnsi="GHEA Grapalat" w:cs="Sylfaen"/>
                <w:bCs w:val="0"/>
                <w:sz w:val="20"/>
                <w:szCs w:val="20"/>
                <w:lang w:val="ru-RU"/>
              </w:rPr>
              <w:t>)</w:t>
            </w:r>
          </w:p>
        </w:tc>
        <w:tc>
          <w:tcPr>
            <w:tcW w:w="992"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Sylfaen"/>
                <w:sz w:val="20"/>
                <w:szCs w:val="20"/>
              </w:rPr>
              <w:t>Աճ</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w:t>
            </w:r>
            <w:r w:rsidRPr="002915CB">
              <w:rPr>
                <w:rFonts w:ascii="GHEA Grapalat" w:hAnsi="GHEA Grapalat" w:cs="Sylfaen"/>
                <w:bCs w:val="0"/>
                <w:sz w:val="20"/>
                <w:szCs w:val="20"/>
                <w:lang w:val="ru-RU"/>
              </w:rPr>
              <w:t>)</w:t>
            </w:r>
          </w:p>
        </w:tc>
        <w:tc>
          <w:tcPr>
            <w:tcW w:w="1418" w:type="dxa"/>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915CB">
              <w:rPr>
                <w:rFonts w:ascii="GHEA Grapalat" w:hAnsi="GHEA Grapalat" w:cs="Sylfaen"/>
                <w:sz w:val="20"/>
                <w:szCs w:val="20"/>
              </w:rPr>
              <w:t>Նպաստում</w:t>
            </w:r>
            <w:r w:rsidRPr="002915CB">
              <w:rPr>
                <w:rFonts w:ascii="GHEA Grapalat" w:hAnsi="GHEA Grapalat" w:cs="Sylfaen"/>
                <w:bCs w:val="0"/>
                <w:sz w:val="20"/>
                <w:szCs w:val="20"/>
              </w:rPr>
              <w:t xml:space="preserve"> </w:t>
            </w:r>
            <w:r w:rsidRPr="002915CB">
              <w:rPr>
                <w:rFonts w:ascii="GHEA Grapalat" w:hAnsi="GHEA Grapalat" w:cs="Sylfaen"/>
                <w:bCs w:val="0"/>
                <w:sz w:val="20"/>
                <w:szCs w:val="20"/>
                <w:lang w:val="ru-RU"/>
              </w:rPr>
              <w:t>(</w:t>
            </w:r>
            <w:r w:rsidRPr="002915CB">
              <w:rPr>
                <w:rFonts w:ascii="GHEA Grapalat" w:hAnsi="GHEA Grapalat" w:cs="Sylfaen"/>
                <w:bCs w:val="0"/>
                <w:sz w:val="20"/>
                <w:szCs w:val="20"/>
              </w:rPr>
              <w:t>տոկոսային կետ</w:t>
            </w:r>
            <w:r w:rsidRPr="002915CB">
              <w:rPr>
                <w:rFonts w:ascii="GHEA Grapalat" w:hAnsi="GHEA Grapalat" w:cs="Sylfaen"/>
                <w:bCs w:val="0"/>
                <w:sz w:val="20"/>
                <w:szCs w:val="20"/>
                <w:lang w:val="ru-RU"/>
              </w:rPr>
              <w:t>)</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 xml:space="preserve">ԸՆԴԱՄԵՆԸ </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3269.2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100.0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48.7</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48.7</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102.6</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82.2</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Cs w:val="0"/>
                <w:sz w:val="20"/>
                <w:szCs w:val="20"/>
              </w:rPr>
            </w:pPr>
            <w:r w:rsidRPr="002915CB">
              <w:rPr>
                <w:rFonts w:ascii="GHEA Grapalat" w:hAnsi="GHEA Grapalat"/>
                <w:bCs w:val="0"/>
                <w:color w:val="000000"/>
                <w:sz w:val="20"/>
                <w:szCs w:val="20"/>
              </w:rPr>
              <w:t>Բուսական ծագման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cs="Arial"/>
                <w:b/>
                <w:sz w:val="20"/>
                <w:szCs w:val="20"/>
              </w:rPr>
              <w:t>183.7</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cs="Arial"/>
                <w:b/>
                <w:sz w:val="20"/>
                <w:szCs w:val="20"/>
              </w:rPr>
              <w:t>5.6</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cs="Arial"/>
                <w:b/>
                <w:sz w:val="20"/>
                <w:szCs w:val="20"/>
              </w:rPr>
              <w:t>73.5</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915CB">
              <w:rPr>
                <w:rFonts w:ascii="GHEA Grapalat" w:hAnsi="GHEA Grapalat" w:cs="Arial"/>
                <w:b/>
                <w:sz w:val="20"/>
                <w:szCs w:val="20"/>
              </w:rPr>
              <w:t>3.5</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45.9</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1.4</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36.4</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0.6</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bCs w:val="0"/>
                <w:sz w:val="20"/>
                <w:szCs w:val="20"/>
              </w:rPr>
            </w:pPr>
            <w:r w:rsidRPr="002915CB">
              <w:rPr>
                <w:rFonts w:ascii="GHEA Grapalat" w:hAnsi="GHEA Grapalat"/>
                <w:b w:val="0"/>
                <w:bCs w:val="0"/>
                <w:color w:val="000000"/>
                <w:sz w:val="20"/>
                <w:szCs w:val="20"/>
              </w:rPr>
              <w:t>Պատրաստի սննդի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213.5</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6.5</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21.4</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1.7</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Հանքահումքային արտադրանք</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560.0</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17.1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36.8</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6.8</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Քիմիայի և դրա հետ կապված արդյունաբերության ճյուղերի արտադրանք</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274.0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8.4</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38.0</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3.4</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132.6</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4.1</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49.2</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2.0</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11.3</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0.3</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11.3</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0.1</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Փայտ և փայտյա իրեր</w:t>
            </w:r>
            <w:r w:rsidR="0058703C">
              <w:rPr>
                <w:rFonts w:ascii="GHEA Grapalat" w:hAnsi="GHEA Grapalat"/>
                <w:b w:val="0"/>
                <w:color w:val="000000"/>
                <w:sz w:val="20"/>
                <w:szCs w:val="20"/>
              </w:rPr>
              <w:t xml:space="preserve"> </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39.5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1.2</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40.0</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0.5</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Թուղթ և թղթից</w:t>
            </w:r>
            <w:r w:rsidR="0058703C">
              <w:rPr>
                <w:rFonts w:ascii="GHEA Grapalat" w:hAnsi="GHEA Grapalat"/>
                <w:b w:val="0"/>
                <w:color w:val="000000"/>
                <w:sz w:val="20"/>
                <w:szCs w:val="20"/>
              </w:rPr>
              <w:t xml:space="preserve"> </w:t>
            </w:r>
            <w:r w:rsidRPr="002915CB">
              <w:rPr>
                <w:rFonts w:ascii="GHEA Grapalat" w:hAnsi="GHEA Grapalat"/>
                <w:b w:val="0"/>
                <w:color w:val="000000"/>
                <w:sz w:val="20"/>
                <w:szCs w:val="20"/>
              </w:rPr>
              <w:t>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58.0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1.8</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43.7</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0.8</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Մանածագործական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2915CB">
              <w:rPr>
                <w:rFonts w:ascii="GHEA Grapalat" w:hAnsi="GHEA Grapalat" w:cs="Arial"/>
                <w:sz w:val="20"/>
                <w:szCs w:val="20"/>
              </w:rPr>
              <w:t>158.6</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2915CB">
              <w:rPr>
                <w:rFonts w:ascii="GHEA Grapalat" w:hAnsi="GHEA Grapalat" w:cs="Arial"/>
                <w:sz w:val="20"/>
                <w:szCs w:val="20"/>
              </w:rPr>
              <w:t>4.9</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2915CB">
              <w:rPr>
                <w:rFonts w:ascii="GHEA Grapalat" w:hAnsi="GHEA Grapalat" w:cs="Arial"/>
                <w:sz w:val="20"/>
                <w:szCs w:val="20"/>
              </w:rPr>
              <w:t>32.8</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2915CB">
              <w:rPr>
                <w:rFonts w:ascii="GHEA Grapalat" w:hAnsi="GHEA Grapalat" w:cs="Arial"/>
                <w:sz w:val="20"/>
                <w:szCs w:val="20"/>
              </w:rPr>
              <w:t>1.8</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Կոշկեղեն, գլխարկներ, հովանոցներ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34.6</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30.6</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0.4</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Իրեր քարից, գիպսից, ցեմենտից</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59.7</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1.8</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26.3</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0.6</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230.2</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7.0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111.5</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5.5</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lang w:val="hy-AM"/>
              </w:rPr>
            </w:pPr>
            <w:r w:rsidRPr="002915C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256.5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7.8</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61.6</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4.4</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sz w:val="20"/>
                <w:szCs w:val="20"/>
              </w:rPr>
            </w:pPr>
            <w:r w:rsidRPr="002915CB">
              <w:rPr>
                <w:rFonts w:ascii="GHEA Grapalat" w:hAnsi="GHEA Grapalat"/>
                <w:color w:val="000000"/>
                <w:sz w:val="20"/>
                <w:szCs w:val="20"/>
              </w:rPr>
              <w:t>Մեքենաներ, սարքավորումներ և մեխանիզմներ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509.1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15.6</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39.5</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2915CB">
              <w:rPr>
                <w:rFonts w:ascii="GHEA Grapalat" w:hAnsi="GHEA Grapalat" w:cs="Arial"/>
                <w:b/>
                <w:bCs/>
                <w:sz w:val="20"/>
                <w:szCs w:val="20"/>
              </w:rPr>
              <w:t>6.6</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lang w:val="hy-AM"/>
              </w:rPr>
            </w:pPr>
            <w:r w:rsidRPr="002915C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244.3</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7.5</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131.5</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6.3</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Սարքեր և ապարատներ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69.8</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27.9</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0.7</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Տարբեր արդյունաբերական ապրանքներ</w:t>
            </w:r>
          </w:p>
        </w:tc>
        <w:tc>
          <w:tcPr>
            <w:tcW w:w="1134"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76.3</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2.3</w:t>
            </w:r>
          </w:p>
        </w:tc>
        <w:tc>
          <w:tcPr>
            <w:tcW w:w="992"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14.8</w:t>
            </w:r>
          </w:p>
        </w:tc>
        <w:tc>
          <w:tcPr>
            <w:tcW w:w="1418" w:type="dxa"/>
            <w:vAlign w:val="bottom"/>
          </w:tcPr>
          <w:p w:rsidR="007A2730" w:rsidRPr="002915CB" w:rsidRDefault="007A2730" w:rsidP="007A2730">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0.4</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730" w:rsidRPr="002915CB" w:rsidRDefault="007A2730" w:rsidP="007A2730">
            <w:pPr>
              <w:rPr>
                <w:rFonts w:ascii="GHEA Grapalat" w:hAnsi="GHEA Grapalat"/>
                <w:b w:val="0"/>
                <w:sz w:val="20"/>
                <w:szCs w:val="20"/>
              </w:rPr>
            </w:pPr>
            <w:r w:rsidRPr="002915CB">
              <w:rPr>
                <w:rFonts w:ascii="GHEA Grapalat" w:hAnsi="GHEA Grapalat"/>
                <w:b w:val="0"/>
                <w:color w:val="000000"/>
                <w:sz w:val="20"/>
                <w:szCs w:val="20"/>
              </w:rPr>
              <w:t>Արվեստի ստեղծագործություններ</w:t>
            </w:r>
          </w:p>
        </w:tc>
        <w:tc>
          <w:tcPr>
            <w:tcW w:w="1134"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9.0</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0.3</w:t>
            </w:r>
          </w:p>
        </w:tc>
        <w:tc>
          <w:tcPr>
            <w:tcW w:w="992"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4417.9</w:t>
            </w:r>
          </w:p>
        </w:tc>
        <w:tc>
          <w:tcPr>
            <w:tcW w:w="1418" w:type="dxa"/>
            <w:vAlign w:val="bottom"/>
          </w:tcPr>
          <w:p w:rsidR="007A2730" w:rsidRPr="002915CB" w:rsidRDefault="007A2730" w:rsidP="007A2730">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0.4</w:t>
            </w:r>
          </w:p>
        </w:tc>
      </w:tr>
    </w:tbl>
    <w:p w:rsidR="007A2730" w:rsidRPr="002915CB" w:rsidRDefault="007A2730" w:rsidP="007A2730">
      <w:pPr>
        <w:jc w:val="center"/>
        <w:rPr>
          <w:rFonts w:ascii="GHEA Grapalat" w:hAnsi="GHEA Grapalat" w:cs="Arial"/>
          <w:b/>
          <w:szCs w:val="20"/>
        </w:rPr>
      </w:pPr>
    </w:p>
    <w:p w:rsidR="007A2730" w:rsidRPr="002915CB" w:rsidRDefault="007A2730" w:rsidP="007A2730">
      <w:pPr>
        <w:rPr>
          <w:rFonts w:ascii="GHEA Grapalat" w:hAnsi="GHEA Grapalat"/>
          <w:b/>
          <w:sz w:val="20"/>
          <w:szCs w:val="20"/>
        </w:rPr>
      </w:pPr>
    </w:p>
    <w:p w:rsidR="007A2730" w:rsidRPr="002915CB" w:rsidRDefault="007A2730" w:rsidP="007A2730">
      <w:pPr>
        <w:jc w:val="center"/>
        <w:rPr>
          <w:rFonts w:ascii="GHEA Grapalat" w:hAnsi="GHEA Grapalat"/>
          <w:b/>
          <w:szCs w:val="20"/>
        </w:rPr>
      </w:pPr>
      <w:r w:rsidRPr="002915CB">
        <w:rPr>
          <w:rFonts w:ascii="GHEA Grapalat" w:hAnsi="GHEA Grapalat"/>
          <w:b/>
          <w:sz w:val="22"/>
          <w:szCs w:val="20"/>
        </w:rPr>
        <w:t>Աղյուսակ 4.</w:t>
      </w:r>
      <w:r w:rsidRPr="002915CB">
        <w:rPr>
          <w:rFonts w:ascii="GHEA Grapalat" w:hAnsi="GHEA Grapalat"/>
          <w:b/>
          <w:szCs w:val="20"/>
        </w:rPr>
        <w:t xml:space="preserve"> </w:t>
      </w:r>
      <w:r w:rsidRPr="002915CB">
        <w:rPr>
          <w:rFonts w:ascii="GHEA Grapalat" w:hAnsi="GHEA Grapalat"/>
          <w:sz w:val="22"/>
          <w:szCs w:val="20"/>
        </w:rPr>
        <w:t xml:space="preserve">Ներմուծումն ըստ ապրանքների լայն տնտեսական՝ BEC դասակարգչի և նպաստումները հունվար-հունիս ամիսներին </w:t>
      </w: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7A2730" w:rsidRPr="002915CB" w:rsidTr="007A2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spacing w:line="360" w:lineRule="auto"/>
              <w:jc w:val="both"/>
              <w:rPr>
                <w:rFonts w:ascii="GHEA Grapalat" w:hAnsi="GHEA Grapalat"/>
                <w:sz w:val="20"/>
                <w:szCs w:val="20"/>
                <w:lang w:val="hy-AM"/>
              </w:rPr>
            </w:pPr>
          </w:p>
        </w:tc>
        <w:tc>
          <w:tcPr>
            <w:tcW w:w="1843" w:type="dxa"/>
            <w:gridSpan w:val="2"/>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 xml:space="preserve">Կշիռ </w:t>
            </w:r>
            <w:r w:rsidRPr="002915CB">
              <w:rPr>
                <w:rFonts w:ascii="GHEA Grapalat" w:hAnsi="GHEA Grapalat"/>
                <w:sz w:val="20"/>
                <w:szCs w:val="20"/>
                <w:lang w:val="ru-RU"/>
              </w:rPr>
              <w:t>(</w:t>
            </w:r>
            <w:r w:rsidRPr="002915CB">
              <w:rPr>
                <w:rFonts w:ascii="GHEA Grapalat" w:hAnsi="GHEA Grapalat"/>
                <w:sz w:val="20"/>
                <w:szCs w:val="20"/>
              </w:rPr>
              <w:t>տոկոս</w:t>
            </w:r>
            <w:r w:rsidRPr="002915CB">
              <w:rPr>
                <w:rFonts w:ascii="GHEA Grapalat" w:hAnsi="GHEA Grapalat"/>
                <w:sz w:val="20"/>
                <w:szCs w:val="20"/>
                <w:lang w:val="ru-RU"/>
              </w:rPr>
              <w:t>)</w:t>
            </w:r>
          </w:p>
        </w:tc>
        <w:tc>
          <w:tcPr>
            <w:tcW w:w="1843" w:type="dxa"/>
            <w:gridSpan w:val="2"/>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915CB">
              <w:rPr>
                <w:rFonts w:ascii="GHEA Grapalat" w:hAnsi="GHEA Grapalat"/>
                <w:sz w:val="20"/>
                <w:szCs w:val="20"/>
              </w:rPr>
              <w:t>Աճ</w:t>
            </w:r>
            <w:r w:rsidRPr="002915CB">
              <w:rPr>
                <w:rFonts w:ascii="GHEA Grapalat" w:hAnsi="GHEA Grapalat"/>
                <w:sz w:val="20"/>
                <w:szCs w:val="20"/>
                <w:lang w:val="ru-RU"/>
              </w:rPr>
              <w:t xml:space="preserve"> (</w:t>
            </w:r>
            <w:r w:rsidRPr="002915CB">
              <w:rPr>
                <w:rFonts w:ascii="GHEA Grapalat" w:hAnsi="GHEA Grapalat"/>
                <w:sz w:val="20"/>
                <w:szCs w:val="20"/>
              </w:rPr>
              <w:t>տոկոս</w:t>
            </w:r>
            <w:r w:rsidRPr="002915CB">
              <w:rPr>
                <w:rFonts w:ascii="GHEA Grapalat" w:hAnsi="GHEA Grapalat"/>
                <w:sz w:val="20"/>
                <w:szCs w:val="20"/>
                <w:lang w:val="ru-RU"/>
              </w:rPr>
              <w:t>)</w:t>
            </w:r>
          </w:p>
        </w:tc>
        <w:tc>
          <w:tcPr>
            <w:tcW w:w="1984" w:type="dxa"/>
            <w:gridSpan w:val="2"/>
          </w:tcPr>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Նպաստում</w:t>
            </w:r>
          </w:p>
          <w:p w:rsidR="007A2730" w:rsidRPr="002915CB" w:rsidRDefault="007A2730" w:rsidP="007A2730">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915CB">
              <w:rPr>
                <w:rFonts w:ascii="GHEA Grapalat" w:hAnsi="GHEA Grapalat"/>
                <w:sz w:val="20"/>
                <w:szCs w:val="20"/>
                <w:lang w:val="ru-RU"/>
              </w:rPr>
              <w:t>(</w:t>
            </w:r>
            <w:r w:rsidRPr="002915CB">
              <w:rPr>
                <w:rFonts w:ascii="GHEA Grapalat" w:hAnsi="GHEA Grapalat"/>
                <w:sz w:val="20"/>
                <w:szCs w:val="20"/>
              </w:rPr>
              <w:t>տոկոսային կետ</w:t>
            </w:r>
            <w:r w:rsidRPr="002915CB">
              <w:rPr>
                <w:rFonts w:ascii="GHEA Grapalat" w:hAnsi="GHEA Grapalat"/>
                <w:sz w:val="20"/>
                <w:szCs w:val="20"/>
                <w:lang w:val="ru-RU"/>
              </w:rPr>
              <w:t>)</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spacing w:line="360" w:lineRule="auto"/>
              <w:jc w:val="both"/>
              <w:rPr>
                <w:rFonts w:ascii="GHEA Grapalat" w:hAnsi="GHEA Grapalat"/>
                <w:sz w:val="20"/>
                <w:szCs w:val="20"/>
              </w:rPr>
            </w:pPr>
          </w:p>
        </w:tc>
        <w:tc>
          <w:tcPr>
            <w:tcW w:w="993"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2021</w:t>
            </w:r>
          </w:p>
        </w:tc>
        <w:tc>
          <w:tcPr>
            <w:tcW w:w="850"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2022</w:t>
            </w:r>
          </w:p>
        </w:tc>
        <w:tc>
          <w:tcPr>
            <w:tcW w:w="992"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2021</w:t>
            </w:r>
          </w:p>
        </w:tc>
        <w:tc>
          <w:tcPr>
            <w:tcW w:w="851"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2022</w:t>
            </w:r>
          </w:p>
        </w:tc>
        <w:tc>
          <w:tcPr>
            <w:tcW w:w="992"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2021</w:t>
            </w:r>
          </w:p>
        </w:tc>
        <w:tc>
          <w:tcPr>
            <w:tcW w:w="992" w:type="dxa"/>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sz w:val="20"/>
                <w:szCs w:val="20"/>
              </w:rPr>
              <w:t>2022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sz w:val="20"/>
                <w:szCs w:val="20"/>
              </w:rPr>
            </w:pPr>
            <w:r w:rsidRPr="002915CB">
              <w:rPr>
                <w:rFonts w:ascii="GHEA Grapalat" w:hAnsi="GHEA Grapalat"/>
                <w:sz w:val="20"/>
                <w:szCs w:val="20"/>
              </w:rPr>
              <w:t>Ընդամենը</w:t>
            </w:r>
          </w:p>
        </w:tc>
        <w:tc>
          <w:tcPr>
            <w:tcW w:w="993" w:type="dxa"/>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100</w:t>
            </w:r>
          </w:p>
        </w:tc>
        <w:tc>
          <w:tcPr>
            <w:tcW w:w="850" w:type="dxa"/>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b/>
                <w:bCs/>
                <w:sz w:val="20"/>
                <w:szCs w:val="20"/>
              </w:rPr>
              <w:t>100</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9.2</w:t>
            </w:r>
          </w:p>
        </w:tc>
        <w:tc>
          <w:tcPr>
            <w:tcW w:w="851"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48.8</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9</w:t>
            </w:r>
            <w:r w:rsidRPr="002915CB">
              <w:rPr>
                <w:rFonts w:ascii="Cambria Math" w:hAnsi="Cambria Math" w:cs="Cambria Math"/>
                <w:b/>
                <w:bCs/>
                <w:sz w:val="20"/>
                <w:szCs w:val="20"/>
              </w:rPr>
              <w:t>․</w:t>
            </w:r>
            <w:r w:rsidRPr="002915CB">
              <w:rPr>
                <w:rFonts w:ascii="GHEA Grapalat" w:hAnsi="GHEA Grapalat" w:cs="Arial"/>
                <w:b/>
                <w:bCs/>
                <w:sz w:val="20"/>
                <w:szCs w:val="20"/>
              </w:rPr>
              <w:t>2</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915CB">
              <w:rPr>
                <w:rFonts w:ascii="GHEA Grapalat" w:hAnsi="GHEA Grapalat" w:cs="Arial"/>
                <w:b/>
                <w:bCs/>
                <w:sz w:val="20"/>
                <w:szCs w:val="20"/>
              </w:rPr>
              <w:t>48.8</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b w:val="0"/>
                <w:sz w:val="20"/>
                <w:szCs w:val="20"/>
              </w:rPr>
            </w:pPr>
            <w:r w:rsidRPr="002915CB">
              <w:rPr>
                <w:rFonts w:ascii="GHEA Grapalat" w:hAnsi="GHEA Grapalat"/>
                <w:b w:val="0"/>
                <w:sz w:val="20"/>
                <w:szCs w:val="20"/>
              </w:rPr>
              <w:t>Վերջնական սպառման ապրանքներ</w:t>
            </w:r>
          </w:p>
        </w:tc>
        <w:tc>
          <w:tcPr>
            <w:tcW w:w="993"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27.0</w:t>
            </w:r>
          </w:p>
        </w:tc>
        <w:tc>
          <w:tcPr>
            <w:tcW w:w="850"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24.4</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7.7</w:t>
            </w:r>
          </w:p>
        </w:tc>
        <w:tc>
          <w:tcPr>
            <w:tcW w:w="851"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34.1</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2.1</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9.2</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b w:val="0"/>
                <w:sz w:val="20"/>
                <w:szCs w:val="20"/>
              </w:rPr>
            </w:pPr>
            <w:r w:rsidRPr="002915CB">
              <w:rPr>
                <w:rFonts w:ascii="GHEA Grapalat" w:hAnsi="GHEA Grapalat"/>
                <w:b w:val="0"/>
                <w:sz w:val="20"/>
                <w:szCs w:val="20"/>
              </w:rPr>
              <w:t>Միջանկյալ սպառման ապրանքներ</w:t>
            </w:r>
          </w:p>
        </w:tc>
        <w:tc>
          <w:tcPr>
            <w:tcW w:w="993"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55.5</w:t>
            </w:r>
          </w:p>
        </w:tc>
        <w:tc>
          <w:tcPr>
            <w:tcW w:w="850"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56.2</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11.2</w:t>
            </w:r>
          </w:p>
        </w:tc>
        <w:tc>
          <w:tcPr>
            <w:tcW w:w="851"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50.7</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6.1</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28.1</w:t>
            </w:r>
          </w:p>
        </w:tc>
      </w:tr>
      <w:tr w:rsidR="007A2730" w:rsidRPr="002915CB" w:rsidTr="007A2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b w:val="0"/>
                <w:sz w:val="20"/>
                <w:szCs w:val="20"/>
              </w:rPr>
            </w:pPr>
            <w:r w:rsidRPr="002915CB">
              <w:rPr>
                <w:rFonts w:ascii="GHEA Grapalat" w:hAnsi="GHEA Grapalat"/>
                <w:b w:val="0"/>
                <w:sz w:val="20"/>
                <w:szCs w:val="20"/>
              </w:rPr>
              <w:t>Կապիտալ ապրանքներ</w:t>
            </w:r>
          </w:p>
        </w:tc>
        <w:tc>
          <w:tcPr>
            <w:tcW w:w="993"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15.7</w:t>
            </w:r>
          </w:p>
        </w:tc>
        <w:tc>
          <w:tcPr>
            <w:tcW w:w="850"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15.3</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2.9</w:t>
            </w:r>
          </w:p>
        </w:tc>
        <w:tc>
          <w:tcPr>
            <w:tcW w:w="851"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44.7</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0.5</w:t>
            </w:r>
          </w:p>
        </w:tc>
        <w:tc>
          <w:tcPr>
            <w:tcW w:w="992" w:type="dxa"/>
            <w:vAlign w:val="bottom"/>
          </w:tcPr>
          <w:p w:rsidR="007A2730" w:rsidRPr="002915CB" w:rsidRDefault="007A2730" w:rsidP="007A2730">
            <w:pPr>
              <w:spacing w:line="360"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7.0</w:t>
            </w:r>
          </w:p>
        </w:tc>
      </w:tr>
      <w:tr w:rsidR="007A2730" w:rsidRPr="002915CB" w:rsidTr="007A2730">
        <w:tc>
          <w:tcPr>
            <w:cnfStyle w:val="001000000000" w:firstRow="0" w:lastRow="0" w:firstColumn="1" w:lastColumn="0" w:oddVBand="0" w:evenVBand="0" w:oddHBand="0" w:evenHBand="0" w:firstRowFirstColumn="0" w:firstRowLastColumn="0" w:lastRowFirstColumn="0" w:lastRowLastColumn="0"/>
            <w:tcW w:w="3964" w:type="dxa"/>
          </w:tcPr>
          <w:p w:rsidR="007A2730" w:rsidRPr="002915CB" w:rsidRDefault="007A2730" w:rsidP="007A2730">
            <w:pPr>
              <w:jc w:val="both"/>
              <w:rPr>
                <w:rFonts w:ascii="GHEA Grapalat" w:hAnsi="GHEA Grapalat"/>
                <w:b w:val="0"/>
                <w:sz w:val="20"/>
                <w:szCs w:val="20"/>
              </w:rPr>
            </w:pPr>
            <w:r w:rsidRPr="002915CB">
              <w:rPr>
                <w:rFonts w:ascii="GHEA Grapalat" w:hAnsi="GHEA Grapalat"/>
                <w:b w:val="0"/>
                <w:sz w:val="20"/>
                <w:szCs w:val="20"/>
              </w:rPr>
              <w:t>Ավտոմեքենա մարդատար</w:t>
            </w:r>
          </w:p>
        </w:tc>
        <w:tc>
          <w:tcPr>
            <w:tcW w:w="993"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1.8</w:t>
            </w:r>
          </w:p>
        </w:tc>
        <w:tc>
          <w:tcPr>
            <w:tcW w:w="850"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4.2</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29.7</w:t>
            </w:r>
          </w:p>
        </w:tc>
        <w:tc>
          <w:tcPr>
            <w:tcW w:w="851"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242.5</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0.5</w:t>
            </w:r>
          </w:p>
        </w:tc>
        <w:tc>
          <w:tcPr>
            <w:tcW w:w="992" w:type="dxa"/>
            <w:vAlign w:val="bottom"/>
          </w:tcPr>
          <w:p w:rsidR="007A2730" w:rsidRPr="002915CB" w:rsidRDefault="007A2730" w:rsidP="007A27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915CB">
              <w:rPr>
                <w:rFonts w:ascii="GHEA Grapalat" w:hAnsi="GHEA Grapalat" w:cs="Arial"/>
                <w:sz w:val="20"/>
                <w:szCs w:val="20"/>
              </w:rPr>
              <w:t>4.4</w:t>
            </w:r>
          </w:p>
        </w:tc>
      </w:tr>
      <w:bookmarkEnd w:id="3"/>
      <w:bookmarkEnd w:id="4"/>
      <w:bookmarkEnd w:id="5"/>
    </w:tbl>
    <w:p w:rsidR="000C68C3" w:rsidRPr="002915CB" w:rsidRDefault="000C68C3" w:rsidP="00FF3485">
      <w:pPr>
        <w:pStyle w:val="Heading1"/>
        <w:overflowPunct/>
        <w:autoSpaceDE/>
        <w:autoSpaceDN/>
        <w:adjustRightInd/>
        <w:ind w:firstLine="0"/>
        <w:jc w:val="left"/>
        <w:textAlignment w:val="auto"/>
        <w:rPr>
          <w:rFonts w:ascii="GHEA Grapalat" w:hAnsi="GHEA Grapalat" w:cs="GHEA Grapalat"/>
          <w:sz w:val="22"/>
          <w:szCs w:val="22"/>
        </w:rPr>
      </w:pPr>
    </w:p>
    <w:sectPr w:rsidR="000C68C3" w:rsidRPr="002915CB" w:rsidSect="00202020">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A87" w:rsidRDefault="00952A87">
      <w:r>
        <w:separator/>
      </w:r>
    </w:p>
  </w:endnote>
  <w:endnote w:type="continuationSeparator" w:id="0">
    <w:p w:rsidR="00952A87" w:rsidRDefault="0095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3C" w:rsidRPr="00E37514" w:rsidRDefault="0058703C">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F22783">
      <w:rPr>
        <w:rFonts w:ascii="GHEA Grapalat" w:hAnsi="GHEA Grapalat"/>
        <w:noProof/>
        <w:sz w:val="22"/>
        <w:szCs w:val="22"/>
      </w:rPr>
      <w:t>5</w:t>
    </w:r>
    <w:r w:rsidRPr="00E37514">
      <w:rPr>
        <w:rFonts w:ascii="GHEA Grapalat" w:hAnsi="GHEA Grapalat"/>
        <w:noProof/>
        <w:sz w:val="22"/>
        <w:szCs w:val="22"/>
      </w:rPr>
      <w:fldChar w:fldCharType="end"/>
    </w:r>
  </w:p>
  <w:p w:rsidR="0058703C" w:rsidRDefault="005870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A87" w:rsidRDefault="00952A87">
      <w:r>
        <w:separator/>
      </w:r>
    </w:p>
  </w:footnote>
  <w:footnote w:type="continuationSeparator" w:id="0">
    <w:p w:rsidR="00952A87" w:rsidRDefault="00952A87">
      <w:r>
        <w:continuationSeparator/>
      </w:r>
    </w:p>
  </w:footnote>
  <w:footnote w:id="1">
    <w:p w:rsidR="0058703C" w:rsidRPr="00877AB1" w:rsidRDefault="0058703C"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Եվրոստատի՝ հոկտեմբերի 29-ի նախնական </w:t>
      </w:r>
      <w:hyperlink r:id="rId1" w:anchor=":~:text=In%20the%20third%20quarter%202021,office%20of%20the%20European%20Union" w:history="1">
        <w:r w:rsidRPr="00877AB1">
          <w:rPr>
            <w:rFonts w:ascii="GHEA Grapalat" w:hAnsi="GHEA Grapalat"/>
            <w:sz w:val="18"/>
            <w:szCs w:val="18"/>
          </w:rPr>
          <w:t>գնահատում</w:t>
        </w:r>
      </w:hyperlink>
      <w:r w:rsidRPr="00877AB1">
        <w:rPr>
          <w:rFonts w:ascii="GHEA Grapalat" w:hAnsi="GHEA Grapalat"/>
          <w:sz w:val="18"/>
          <w:szCs w:val="18"/>
        </w:rPr>
        <w:t xml:space="preserve"> (</w:t>
      </w:r>
      <w:hyperlink r:id="rId2" w:history="1">
        <w:r w:rsidRPr="00877AB1">
          <w:rPr>
            <w:rStyle w:val="Hyperlink"/>
            <w:rFonts w:ascii="GHEA Grapalat" w:hAnsi="GHEA Grapalat"/>
            <w:sz w:val="18"/>
            <w:szCs w:val="18"/>
          </w:rPr>
          <w:t>https://ec.europa.eu/eurostat/documents/2995521/14497760/2-29042022-BP-EN.pdf</w:t>
        </w:r>
      </w:hyperlink>
      <w:r w:rsidRPr="00877AB1">
        <w:rPr>
          <w:rFonts w:ascii="GHEA Grapalat" w:hAnsi="GHEA Grapalat"/>
          <w:sz w:val="18"/>
          <w:szCs w:val="18"/>
        </w:rPr>
        <w:t>), էջ 2:</w:t>
      </w:r>
    </w:p>
  </w:footnote>
  <w:footnote w:id="2">
    <w:p w:rsidR="0058703C" w:rsidRPr="00877AB1" w:rsidRDefault="0058703C"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Չինաստանի վիճակագրության ազգային </w:t>
      </w:r>
      <w:hyperlink r:id="rId3" w:history="1">
        <w:r w:rsidRPr="00877AB1">
          <w:rPr>
            <w:rFonts w:ascii="GHEA Grapalat" w:hAnsi="GHEA Grapalat"/>
            <w:sz w:val="18"/>
            <w:szCs w:val="18"/>
          </w:rPr>
          <w:t>բյուրո</w:t>
        </w:r>
      </w:hyperlink>
      <w:r w:rsidRPr="00877AB1">
        <w:rPr>
          <w:rFonts w:ascii="GHEA Grapalat" w:hAnsi="GHEA Grapalat"/>
          <w:sz w:val="18"/>
          <w:szCs w:val="18"/>
        </w:rPr>
        <w:t xml:space="preserve"> (</w:t>
      </w:r>
      <w:hyperlink r:id="rId4" w:history="1">
        <w:r w:rsidRPr="00877AB1">
          <w:rPr>
            <w:rStyle w:val="Hyperlink"/>
            <w:rFonts w:ascii="GHEA Grapalat" w:hAnsi="GHEA Grapalat"/>
            <w:sz w:val="18"/>
            <w:szCs w:val="18"/>
          </w:rPr>
          <w:t>http://www.stats.gov.cn/english/PressRelease/202204/t20220418_1829688.html</w:t>
        </w:r>
      </w:hyperlink>
      <w:r w:rsidRPr="00877AB1">
        <w:rPr>
          <w:rFonts w:ascii="GHEA Grapalat" w:hAnsi="GHEA Grapalat"/>
          <w:sz w:val="18"/>
          <w:szCs w:val="18"/>
        </w:rPr>
        <w:t>) :</w:t>
      </w:r>
    </w:p>
  </w:footnote>
  <w:footnote w:id="3">
    <w:p w:rsidR="0058703C" w:rsidRPr="00877AB1" w:rsidRDefault="0058703C"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ՌԴ տնտեսական զարգացման նախարարության </w:t>
      </w:r>
      <w:hyperlink r:id="rId5" w:history="1">
        <w:r w:rsidR="00877AB1" w:rsidRPr="00EB5F40">
          <w:rPr>
            <w:rStyle w:val="Hyperlink"/>
            <w:rFonts w:ascii="GHEA Grapalat" w:hAnsi="GHEA Grapalat"/>
            <w:sz w:val="18"/>
            <w:szCs w:val="18"/>
          </w:rPr>
          <w:t>գնահատ</w:t>
        </w:r>
      </w:hyperlink>
      <w:r w:rsidR="00877AB1">
        <w:rPr>
          <w:rFonts w:ascii="GHEA Grapalat" w:hAnsi="GHEA Grapalat"/>
          <w:sz w:val="18"/>
          <w:szCs w:val="18"/>
        </w:rPr>
        <w:t>ական</w:t>
      </w:r>
      <w:r w:rsidRPr="00877AB1">
        <w:rPr>
          <w:rFonts w:ascii="GHEA Grapalat" w:hAnsi="GHEA Grapalat"/>
          <w:sz w:val="18"/>
          <w:szCs w:val="18"/>
        </w:rPr>
        <w:t xml:space="preserve"> (</w:t>
      </w:r>
      <w:r w:rsidRPr="00877AB1">
        <w:rPr>
          <w:rStyle w:val="Hyperlink"/>
          <w:rFonts w:ascii="GHEA Grapalat" w:hAnsi="GHEA Grapalat"/>
          <w:sz w:val="18"/>
          <w:szCs w:val="18"/>
        </w:rPr>
        <w:t>https://economy.gov.ru/material/file/bffc6cc5eadc71d91c685e2fe5908112/29102021.pdf</w:t>
      </w:r>
      <w:r w:rsidRPr="00877AB1">
        <w:rPr>
          <w:rFonts w:ascii="GHEA Grapalat" w:hAnsi="GHEA Grapalat"/>
          <w:sz w:val="18"/>
          <w:szCs w:val="18"/>
        </w:rPr>
        <w:t>):</w:t>
      </w:r>
    </w:p>
  </w:footnote>
  <w:footnote w:id="4">
    <w:p w:rsidR="0058703C" w:rsidRPr="00877AB1" w:rsidRDefault="0058703C"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Համաշխարհային բանկ ( </w:t>
      </w:r>
      <w:hyperlink r:id="rId6" w:history="1">
        <w:r w:rsidRPr="00877AB1">
          <w:rPr>
            <w:rStyle w:val="Hyperlink"/>
            <w:rFonts w:ascii="GHEA Grapalat" w:hAnsi="GHEA Grapalat"/>
            <w:sz w:val="18"/>
            <w:szCs w:val="18"/>
          </w:rPr>
          <w:t>https://www.worldbank.org/en/research/commodity-markets</w:t>
        </w:r>
      </w:hyperlink>
      <w:r w:rsidRPr="00877AB1">
        <w:rPr>
          <w:rFonts w:ascii="GHEA Grapalat" w:hAnsi="GHEA Grapalat"/>
          <w:sz w:val="18"/>
          <w:szCs w:val="18"/>
        </w:rPr>
        <w:t xml:space="preserve">): </w:t>
      </w:r>
    </w:p>
  </w:footnote>
  <w:footnote w:id="5">
    <w:p w:rsidR="0058703C" w:rsidRPr="00877AB1" w:rsidRDefault="0058703C" w:rsidP="00DB55AD">
      <w:pPr>
        <w:pStyle w:val="FootnoteText"/>
        <w:rPr>
          <w:rFonts w:ascii="GHEA Grapalat" w:hAnsi="GHEA Grapalat"/>
          <w:sz w:val="18"/>
          <w:szCs w:val="18"/>
        </w:rPr>
      </w:pPr>
      <w:r w:rsidRPr="00877AB1">
        <w:rPr>
          <w:rStyle w:val="FootnoteReference"/>
          <w:rFonts w:ascii="GHEA Grapalat" w:hAnsi="GHEA Grapalat"/>
          <w:sz w:val="18"/>
          <w:szCs w:val="18"/>
        </w:rPr>
        <w:footnoteRef/>
      </w:r>
      <w:r w:rsidRPr="00877AB1">
        <w:rPr>
          <w:rFonts w:ascii="GHEA Grapalat" w:hAnsi="GHEA Grapalat"/>
          <w:sz w:val="18"/>
          <w:szCs w:val="18"/>
        </w:rPr>
        <w:t xml:space="preserve"> Աղբյուրը՝ ՄԱԿ – ի պարենի և գյուղատնտեսության կազմակերպություն </w:t>
      </w:r>
      <w:hyperlink r:id="rId7" w:history="1">
        <w:r w:rsidRPr="00877AB1">
          <w:rPr>
            <w:rStyle w:val="Hyperlink"/>
            <w:rFonts w:ascii="GHEA Grapalat" w:hAnsi="GHEA Grapalat"/>
            <w:sz w:val="18"/>
            <w:szCs w:val="18"/>
          </w:rPr>
          <w:t>https://www.fao.org/worldfoodsituation/foodpricesindex/en/</w:t>
        </w:r>
      </w:hyperlink>
    </w:p>
  </w:footnote>
  <w:footnote w:id="6">
    <w:p w:rsidR="0058703C" w:rsidRPr="00EE5ED2" w:rsidRDefault="0058703C" w:rsidP="00EE5ED2">
      <w:pPr>
        <w:tabs>
          <w:tab w:val="right" w:pos="0"/>
          <w:tab w:val="left" w:pos="270"/>
        </w:tabs>
        <w:spacing w:before="120"/>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Կ</w:t>
      </w:r>
      <w:r w:rsidRPr="00EE5ED2">
        <w:rPr>
          <w:rFonts w:ascii="GHEA Grapalat" w:hAnsi="GHEA Grapalat" w:cs="Sylfaen"/>
          <w:bCs/>
          <w:sz w:val="18"/>
          <w:szCs w:val="18"/>
        </w:rPr>
        <w:t>որոնավիրուսի համավարակի տարածումը շարունակվում է նաև 2022</w:t>
      </w:r>
      <w:r w:rsidR="008F3497">
        <w:rPr>
          <w:rFonts w:ascii="GHEA Grapalat" w:hAnsi="GHEA Grapalat" w:cs="Sylfaen"/>
          <w:bCs/>
          <w:sz w:val="18"/>
          <w:szCs w:val="18"/>
        </w:rPr>
        <w:t xml:space="preserve"> </w:t>
      </w:r>
      <w:r w:rsidRPr="00EE5ED2">
        <w:rPr>
          <w:rFonts w:ascii="GHEA Grapalat" w:hAnsi="GHEA Grapalat" w:cs="Sylfaen"/>
          <w:bCs/>
          <w:sz w:val="18"/>
          <w:szCs w:val="18"/>
        </w:rPr>
        <w:t xml:space="preserve">թվականին: </w:t>
      </w:r>
      <w:r w:rsidRPr="00EE5ED2">
        <w:rPr>
          <w:rFonts w:ascii="GHEA Grapalat" w:hAnsi="GHEA Grapalat"/>
          <w:sz w:val="18"/>
          <w:szCs w:val="18"/>
        </w:rPr>
        <w:t>Հիվանդության հաստատված դեպքերի ընդհանուր թիվը հուլիսի 31-ի դրությամբ կազմել է 426,799 մարդ։ 2022 հուլիսի 31-ի դրությամբ կատարվել է 2,229,502 պատվաստում, որից` առաջին դեղաչափ` 1,142,105, (ՀՀ մշտական բնակչության 38.6%-ը), ամբողջական պատվաստված`</w:t>
      </w:r>
      <w:r>
        <w:rPr>
          <w:rFonts w:ascii="GHEA Grapalat" w:hAnsi="GHEA Grapalat"/>
          <w:sz w:val="18"/>
          <w:szCs w:val="18"/>
        </w:rPr>
        <w:t xml:space="preserve"> </w:t>
      </w:r>
      <w:r w:rsidRPr="00EE5ED2">
        <w:rPr>
          <w:rFonts w:ascii="GHEA Grapalat" w:hAnsi="GHEA Grapalat"/>
          <w:sz w:val="18"/>
          <w:szCs w:val="18"/>
        </w:rPr>
        <w:t xml:space="preserve">1,018,858, (ՀՀ մշտական բնակչության 34.4%-ը), բուստեր՝ 63,677 (ՀՀ մշտական բնակչության 2.1%-ը): Հաշվարկներում կիրառվել է 2021թ. ՀՀ մշտական բնակչության միջին թիվը: </w:t>
      </w:r>
    </w:p>
  </w:footnote>
  <w:footnote w:id="7">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Ճյուղերի մանրամասն ցուցանիշները ներկայացված են Հավելվածում:</w:t>
      </w:r>
    </w:p>
  </w:footnote>
  <w:footnote w:id="8">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sidR="0080684B">
        <w:rPr>
          <w:rFonts w:ascii="GHEA Grapalat" w:hAnsi="GHEA Grapalat"/>
          <w:sz w:val="18"/>
          <w:szCs w:val="18"/>
        </w:rPr>
        <w:t>՝</w:t>
      </w:r>
      <w:r w:rsidRPr="00EE5ED2">
        <w:rPr>
          <w:rFonts w:ascii="GHEA Grapalat" w:hAnsi="GHEA Grapalat"/>
          <w:sz w:val="18"/>
          <w:szCs w:val="18"/>
        </w:rPr>
        <w:t xml:space="preserve"> ամսական արտադրության տատանողականության հարթեցման անհրաժեշտությամբ:</w:t>
      </w:r>
    </w:p>
  </w:footnote>
  <w:footnote w:id="9">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0">
    <w:p w:rsidR="0058703C" w:rsidRPr="00EE5ED2" w:rsidRDefault="0058703C" w:rsidP="00747183">
      <w:pPr>
        <w:jc w:val="both"/>
        <w:rPr>
          <w:rFonts w:ascii="GHEA Grapalat" w:eastAsia="GHEA Grapalat" w:hAnsi="GHEA Grapalat" w:cs="GHEA Grapalat"/>
          <w:color w:val="000000"/>
          <w:sz w:val="18"/>
          <w:szCs w:val="18"/>
          <w:highlight w:val="yellow"/>
        </w:rPr>
      </w:pPr>
      <w:r w:rsidRPr="00EE5ED2">
        <w:rPr>
          <w:rStyle w:val="FootnoteReference"/>
          <w:rFonts w:ascii="GHEA Grapalat" w:hAnsi="GHEA Grapalat"/>
          <w:sz w:val="18"/>
          <w:szCs w:val="18"/>
        </w:rPr>
        <w:footnoteRef/>
      </w:r>
      <w:r w:rsidRPr="00EE5ED2">
        <w:rPr>
          <w:rFonts w:ascii="GHEA Grapalat" w:eastAsia="GHEA Grapalat" w:hAnsi="GHEA Grapalat" w:cs="GHEA Grapalat"/>
          <w:color w:val="000000"/>
          <w:sz w:val="18"/>
          <w:szCs w:val="18"/>
        </w:rPr>
        <w:t xml:space="preserve"> </w:t>
      </w:r>
      <w:r w:rsidRPr="00EE5ED2">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1">
    <w:p w:rsidR="0058703C" w:rsidRPr="00EE5ED2" w:rsidRDefault="0058703C" w:rsidP="00747183">
      <w:pPr>
        <w:jc w:val="both"/>
        <w:rPr>
          <w:rFonts w:ascii="GHEA Grapalat" w:eastAsia="GHEA Grapalat" w:hAnsi="GHEA Grapalat"/>
          <w:color w:val="000000"/>
          <w:sz w:val="18"/>
          <w:szCs w:val="18"/>
        </w:rPr>
      </w:pPr>
      <w:r w:rsidRPr="00EE5ED2">
        <w:rPr>
          <w:rFonts w:ascii="GHEA Grapalat" w:eastAsia="GHEA Grapalat" w:hAnsi="GHEA Grapalat"/>
          <w:color w:val="000000"/>
          <w:sz w:val="18"/>
          <w:szCs w:val="18"/>
          <w:vertAlign w:val="superscript"/>
        </w:rPr>
        <w:footnoteRef/>
      </w:r>
      <w:r w:rsidRPr="00EE5ED2">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2">
    <w:p w:rsidR="0058703C" w:rsidRPr="00EE5ED2" w:rsidRDefault="0058703C" w:rsidP="0082535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Աղբյուրը՝ ՀՀ ՎԿ և ՀՀ ՖՆ հաշվարկներ։</w:t>
      </w:r>
    </w:p>
  </w:footnote>
  <w:footnote w:id="13">
    <w:p w:rsidR="0058703C" w:rsidRPr="00EE5ED2" w:rsidRDefault="0058703C" w:rsidP="00825352">
      <w:pPr>
        <w:pStyle w:val="FootnoteText"/>
        <w:jc w:val="both"/>
      </w:pPr>
      <w:r w:rsidRPr="00EE5ED2">
        <w:rPr>
          <w:rStyle w:val="FootnoteReference"/>
          <w:rFonts w:ascii="GHEA Grapalat" w:hAnsi="GHEA Grapalat"/>
          <w:sz w:val="18"/>
          <w:szCs w:val="18"/>
        </w:rPr>
        <w:footnoteRef/>
      </w:r>
      <w:r w:rsidRPr="00EE5ED2">
        <w:rPr>
          <w:rFonts w:ascii="GHEA Grapalat" w:hAnsi="GHEA Grapalat"/>
          <w:sz w:val="18"/>
          <w:szCs w:val="18"/>
        </w:rPr>
        <w:t xml:space="preserve"> Աղբյուրը՝ ՀՀ ԿԲ: </w:t>
      </w:r>
    </w:p>
  </w:footnote>
  <w:footnote w:id="14">
    <w:p w:rsidR="0058703C" w:rsidRPr="00EE5ED2" w:rsidRDefault="0058703C" w:rsidP="00825352">
      <w:pPr>
        <w:pBdr>
          <w:top w:val="nil"/>
          <w:left w:val="nil"/>
          <w:bottom w:val="nil"/>
          <w:right w:val="nil"/>
          <w:between w:val="nil"/>
        </w:pBdr>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eastAsia="GHEA Grapalat" w:hAnsi="GHEA Grapalat" w:cs="GHEA Grapalat"/>
          <w:sz w:val="18"/>
          <w:szCs w:val="18"/>
        </w:rPr>
        <w:t xml:space="preserve"> </w:t>
      </w:r>
      <w:r w:rsidRPr="00EE5ED2">
        <w:rPr>
          <w:rFonts w:ascii="GHEA Grapalat" w:hAnsi="GHEA Grapalat"/>
          <w:sz w:val="18"/>
          <w:szCs w:val="18"/>
        </w:rPr>
        <w:t xml:space="preserve">Ներմուծման տվյալները ներկայացված են ՍԻՖ գներով: </w:t>
      </w:r>
    </w:p>
  </w:footnote>
  <w:footnote w:id="15">
    <w:p w:rsidR="0058703C" w:rsidRPr="00EE5ED2" w:rsidRDefault="0058703C" w:rsidP="00EE5ED2">
      <w:pPr>
        <w:pStyle w:val="FootnoteText"/>
        <w:jc w:val="both"/>
        <w:rPr>
          <w:rFonts w:ascii="GHEA Grapalat" w:eastAsia="GHEA Grapalat" w:hAnsi="GHEA Grapalat" w:cs="GHEA Grapalat"/>
          <w:color w:val="000000"/>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6">
    <w:p w:rsidR="0058703C" w:rsidRPr="00EE5ED2" w:rsidRDefault="0058703C" w:rsidP="00EE5ED2">
      <w:pPr>
        <w:spacing w:line="276" w:lineRule="auto"/>
        <w:jc w:val="both"/>
        <w:rPr>
          <w:sz w:val="18"/>
          <w:szCs w:val="18"/>
        </w:rPr>
      </w:pPr>
      <w:r w:rsidRPr="00EE5ED2">
        <w:rPr>
          <w:rStyle w:val="FootnoteReference"/>
          <w:rFonts w:ascii="GHEA Grapalat" w:hAnsi="GHEA Grapalat"/>
          <w:sz w:val="18"/>
          <w:szCs w:val="18"/>
        </w:rPr>
        <w:footnoteRef/>
      </w:r>
      <w:r w:rsidRPr="00EE5ED2">
        <w:rPr>
          <w:rStyle w:val="FootnoteReference"/>
          <w:rFonts w:ascii="GHEA Grapalat" w:hAnsi="GHEA Grapalat"/>
          <w:sz w:val="18"/>
          <w:szCs w:val="18"/>
        </w:rPr>
        <w:t xml:space="preserve"> </w:t>
      </w:r>
      <w:r w:rsidRPr="00EE5ED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7">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Մանրամասն ցուցանիշները ներկայացված են Հավելվածում:</w:t>
      </w:r>
    </w:p>
  </w:footnote>
  <w:footnote w:id="18">
    <w:p w:rsidR="0058703C" w:rsidRPr="00EE5ED2" w:rsidRDefault="0058703C" w:rsidP="00EE5ED2">
      <w:pPr>
        <w:pStyle w:val="FootnoteText"/>
        <w:jc w:val="both"/>
      </w:pPr>
      <w:r w:rsidRPr="00EE5ED2">
        <w:rPr>
          <w:rStyle w:val="FootnoteReference"/>
          <w:rFonts w:ascii="GHEA Grapalat" w:hAnsi="GHEA Grapalat"/>
          <w:sz w:val="18"/>
          <w:szCs w:val="18"/>
        </w:rPr>
        <w:footnoteRef/>
      </w:r>
      <w:r w:rsidRPr="00EE5ED2">
        <w:rPr>
          <w:rStyle w:val="FootnoteReference"/>
          <w:rFonts w:ascii="GHEA Grapalat" w:hAnsi="GHEA Grapalat"/>
          <w:sz w:val="18"/>
          <w:szCs w:val="18"/>
        </w:rPr>
        <w:t xml:space="preserve"> </w:t>
      </w:r>
      <w:r w:rsidRPr="00EE5ED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9">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Մանրամասն ցուցանիշները ներկայացված են Հավելվածում:</w:t>
      </w:r>
    </w:p>
  </w:footnote>
  <w:footnote w:id="20">
    <w:p w:rsidR="0058703C" w:rsidRPr="00EE5ED2" w:rsidRDefault="0058703C" w:rsidP="00EE5ED2">
      <w:pPr>
        <w:jc w:val="both"/>
        <w:rPr>
          <w:rFonts w:ascii="GHEA Grapalat" w:eastAsia="Merriweather" w:hAnsi="GHEA Grapalat" w:cs="Merriweather"/>
          <w:color w:val="000000"/>
          <w:sz w:val="16"/>
          <w:szCs w:val="16"/>
        </w:rPr>
      </w:pPr>
      <w:r w:rsidRPr="00EE5ED2">
        <w:rPr>
          <w:rStyle w:val="FootnoteReference"/>
          <w:rFonts w:ascii="GHEA Grapalat" w:hAnsi="GHEA Grapalat"/>
          <w:sz w:val="16"/>
          <w:szCs w:val="16"/>
        </w:rPr>
        <w:footnoteRef/>
      </w:r>
      <w:r w:rsidRPr="00EE5ED2">
        <w:rPr>
          <w:rFonts w:ascii="GHEA Grapalat" w:hAnsi="GHEA Grapalat"/>
          <w:color w:val="000000"/>
          <w:sz w:val="16"/>
          <w:szCs w:val="16"/>
        </w:rPr>
        <w:t xml:space="preserve"> </w:t>
      </w:r>
      <w:r w:rsidRPr="00EE5ED2">
        <w:rPr>
          <w:rFonts w:ascii="GHEA Grapalat" w:eastAsia="GHEA Grapalat" w:hAnsi="GHEA Grapalat" w:cs="GHEA Grapalat"/>
          <w:color w:val="000000"/>
          <w:sz w:val="18"/>
          <w:szCs w:val="18"/>
        </w:rPr>
        <w:t>Ապրանքների լայն տնտեսական դասակարգմամբ (BEC) պաշտոնական տվյալները հրապարակվում են տարեկան կրտվածքով և կհրապարակվեն հաջորդ տարվա՝ 2023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1">
    <w:p w:rsidR="0058703C" w:rsidRPr="00EE5ED2" w:rsidRDefault="0058703C"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Մանրամասն ցուցանիշները ներկայացված են Հավելվածում:</w:t>
      </w:r>
    </w:p>
  </w:footnote>
  <w:footnote w:id="22">
    <w:p w:rsidR="0058703C" w:rsidRPr="00EE5ED2" w:rsidRDefault="0058703C" w:rsidP="00EE5ED2">
      <w:pPr>
        <w:pBdr>
          <w:top w:val="nil"/>
          <w:left w:val="nil"/>
          <w:bottom w:val="nil"/>
          <w:right w:val="nil"/>
          <w:between w:val="nil"/>
        </w:pBdr>
        <w:jc w:val="both"/>
        <w:rPr>
          <w:rFonts w:ascii="GHEA Grapalat" w:eastAsia="GHEA Grapalat" w:hAnsi="GHEA Grapalat" w:cs="GHEA Grapalat"/>
          <w:color w:val="000000"/>
          <w:sz w:val="18"/>
          <w:szCs w:val="18"/>
        </w:rPr>
      </w:pPr>
      <w:r w:rsidRPr="00EE5ED2">
        <w:rPr>
          <w:rStyle w:val="FootnoteReference"/>
          <w:rFonts w:ascii="GHEA Grapalat" w:hAnsi="GHEA Grapalat"/>
          <w:sz w:val="18"/>
          <w:szCs w:val="18"/>
        </w:rPr>
        <w:footnoteRef/>
      </w:r>
      <w:r w:rsidRPr="00EE5ED2">
        <w:rPr>
          <w:rFonts w:ascii="GHEA Grapalat" w:eastAsia="Merriweather" w:hAnsi="GHEA Grapalat" w:cs="Merriweather"/>
          <w:color w:val="000000"/>
          <w:sz w:val="18"/>
          <w:szCs w:val="18"/>
        </w:rPr>
        <w:t xml:space="preserve"> </w:t>
      </w:r>
      <w:r w:rsidRPr="00EE5ED2">
        <w:rPr>
          <w:rFonts w:ascii="GHEA Grapalat" w:eastAsia="GHEA Grapalat" w:hAnsi="GHEA Grapalat" w:cs="GHEA Grapalat"/>
          <w:color w:val="000000"/>
          <w:sz w:val="18"/>
          <w:szCs w:val="18"/>
        </w:rPr>
        <w:t xml:space="preserve">Ընթացիկ առաջին վեց ամիսների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«Ապրանքների առևտուրն ըստ վճարային հաշվեկշռի հիմքի» հոդված): 2022 թվականի առաջին </w:t>
      </w:r>
      <w:r>
        <w:rPr>
          <w:rFonts w:ascii="GHEA Grapalat" w:eastAsia="GHEA Grapalat" w:hAnsi="GHEA Grapalat" w:cs="GHEA Grapalat"/>
          <w:color w:val="000000"/>
          <w:sz w:val="18"/>
          <w:szCs w:val="18"/>
        </w:rPr>
        <w:t>կիսամ</w:t>
      </w:r>
      <w:r w:rsidRPr="00EE5ED2">
        <w:rPr>
          <w:rFonts w:ascii="GHEA Grapalat" w:eastAsia="GHEA Grapalat" w:hAnsi="GHEA Grapalat" w:cs="GHEA Grapalat"/>
          <w:color w:val="000000"/>
          <w:sz w:val="18"/>
          <w:szCs w:val="18"/>
        </w:rPr>
        <w:t xml:space="preserve">յակի ցուցանիշը նախնական գնահատական է: </w:t>
      </w:r>
    </w:p>
    <w:p w:rsidR="0058703C" w:rsidRPr="00EE5ED2" w:rsidRDefault="0058703C" w:rsidP="00EE5ED2">
      <w:pPr>
        <w:pBdr>
          <w:top w:val="nil"/>
          <w:left w:val="nil"/>
          <w:bottom w:val="nil"/>
          <w:right w:val="nil"/>
          <w:between w:val="nil"/>
        </w:pBdr>
        <w:jc w:val="both"/>
        <w:rPr>
          <w:rFonts w:ascii="GHEA Grapalat" w:eastAsia="Merriweather" w:hAnsi="GHEA Grapalat" w:cs="Merriweather"/>
          <w:color w:val="000000"/>
          <w:sz w:val="18"/>
          <w:szCs w:val="18"/>
        </w:rPr>
      </w:pPr>
      <w:r w:rsidRPr="00EE5ED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EE5ED2">
        <w:rPr>
          <w:rFonts w:ascii="GHEA Grapalat" w:eastAsia="GHEA Grapalat" w:hAnsi="GHEA Grapalat" w:cs="GHEA Grapalat"/>
          <w:color w:val="000000"/>
          <w:sz w:val="18"/>
          <w:szCs w:val="18"/>
        </w:rPr>
        <w:t>վիճակագրական կոմիտե, «ՀՀ վճարային հաշվեկշիռ-6» տվյալների բազա և ՀՀ ՖՆ գնահատականներ:</w:t>
      </w:r>
    </w:p>
  </w:footnote>
  <w:footnote w:id="23">
    <w:p w:rsidR="0058703C" w:rsidRDefault="0058703C" w:rsidP="00EE5ED2">
      <w:pPr>
        <w:pStyle w:val="FootnoteText"/>
        <w:jc w:val="both"/>
        <w:rPr>
          <w:rFonts w:ascii="GHEA Grapalat" w:hAnsi="GHEA Grapalat" w:cs="Sylfaen"/>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Աղբյուրը՝ ՀՀ ԿԲ, «</w:t>
      </w:r>
      <w:r w:rsidRPr="00EE5ED2">
        <w:rPr>
          <w:rFonts w:ascii="GHEA Grapalat" w:hAnsi="GHEA Grapalat" w:cs="Sylfaen"/>
          <w:sz w:val="18"/>
          <w:szCs w:val="18"/>
        </w:rPr>
        <w:t>ՀՀ բանկերի միջոցով ֆիզիկական անձանց անունով արտերկրից ստացված և ՀՀ-ից ֆիզիկական անձանց կողմից արտերկիր իրականացված փոխանցումներ», զուտ ներհոսք</w:t>
      </w:r>
    </w:p>
    <w:p w:rsidR="0058703C" w:rsidRPr="00EE5ED2" w:rsidRDefault="0058703C" w:rsidP="00EE5ED2">
      <w:pPr>
        <w:pStyle w:val="FootnoteText"/>
        <w:jc w:val="both"/>
        <w:rPr>
          <w:rFonts w:ascii="GHEA Grapalat" w:hAnsi="GHEA Grapalat"/>
          <w:sz w:val="18"/>
          <w:szCs w:val="18"/>
        </w:rPr>
      </w:pPr>
      <w:r w:rsidRPr="00EE5ED2">
        <w:rPr>
          <w:rFonts w:ascii="GHEA Grapalat" w:hAnsi="GHEA Grapalat" w:cs="Sylfaen"/>
          <w:sz w:val="18"/>
          <w:szCs w:val="18"/>
        </w:rPr>
        <w:t>(https://www.cba.am/am/SitePages/statexternalsector.aspx)։</w:t>
      </w:r>
    </w:p>
  </w:footnote>
  <w:footnote w:id="24">
    <w:p w:rsidR="0058703C" w:rsidRPr="00785E13" w:rsidRDefault="0058703C" w:rsidP="00180A83">
      <w:pPr>
        <w:pBdr>
          <w:top w:val="nil"/>
          <w:left w:val="nil"/>
          <w:bottom w:val="nil"/>
          <w:right w:val="nil"/>
          <w:between w:val="nil"/>
        </w:pBdr>
        <w:jc w:val="both"/>
        <w:rPr>
          <w:rFonts w:ascii="GHEA Grapalat" w:eastAsia="Merriweather" w:hAnsi="GHEA Grapalat" w:cs="Merriweather"/>
          <w:color w:val="000000"/>
          <w:sz w:val="18"/>
          <w:szCs w:val="18"/>
        </w:rPr>
      </w:pPr>
      <w:r w:rsidRPr="00785E13">
        <w:rPr>
          <w:rStyle w:val="FootnoteReference"/>
          <w:rFonts w:ascii="GHEA Grapalat" w:hAnsi="GHEA Grapalat"/>
          <w:sz w:val="18"/>
          <w:szCs w:val="18"/>
        </w:rPr>
        <w:footnoteRef/>
      </w:r>
      <w:r w:rsidRPr="00785E13">
        <w:rPr>
          <w:rFonts w:ascii="GHEA Grapalat" w:eastAsia="Merriweather" w:hAnsi="GHEA Grapalat" w:cs="Merriweather"/>
          <w:color w:val="000000"/>
          <w:sz w:val="18"/>
          <w:szCs w:val="18"/>
        </w:rPr>
        <w:t xml:space="preserve"> </w:t>
      </w:r>
      <w:r w:rsidRPr="00785E13">
        <w:rPr>
          <w:rFonts w:ascii="GHEA Grapalat" w:eastAsia="GHEA Grapalat" w:hAnsi="GHEA Grapalat" w:cs="GHEA Grapalat"/>
          <w:color w:val="000000"/>
          <w:sz w:val="18"/>
          <w:szCs w:val="18"/>
        </w:rPr>
        <w:t>Աղբյուրը՝ ՀՀ ԿԲ։</w:t>
      </w:r>
    </w:p>
  </w:footnote>
  <w:footnote w:id="25">
    <w:p w:rsidR="0058703C" w:rsidRPr="00785E13" w:rsidRDefault="0058703C" w:rsidP="00785E13">
      <w:pPr>
        <w:pStyle w:val="FootnoteText"/>
        <w:jc w:val="both"/>
        <w:rPr>
          <w:rFonts w:ascii="GHEA Grapalat" w:hAnsi="GHEA Grapalat"/>
          <w:sz w:val="18"/>
          <w:szCs w:val="18"/>
        </w:rPr>
      </w:pPr>
      <w:r w:rsidRPr="00785E13">
        <w:rPr>
          <w:rStyle w:val="FootnoteReference"/>
          <w:rFonts w:ascii="GHEA Grapalat" w:hAnsi="GHEA Grapalat"/>
          <w:sz w:val="18"/>
          <w:szCs w:val="18"/>
        </w:rPr>
        <w:footnoteRef/>
      </w:r>
      <w:r w:rsidRPr="00785E13">
        <w:rPr>
          <w:rFonts w:ascii="GHEA Grapalat" w:hAnsi="GHEA Grapalat"/>
          <w:sz w:val="18"/>
          <w:szCs w:val="18"/>
        </w:rPr>
        <w:t xml:space="preserve"> </w:t>
      </w:r>
      <w:r w:rsidRPr="00785E13">
        <w:rPr>
          <w:rFonts w:ascii="GHEA Grapalat" w:hAnsi="GHEA Grapalat" w:cs="Sylfaen"/>
          <w:sz w:val="18"/>
          <w:szCs w:val="18"/>
        </w:rPr>
        <w:t>Աղբյուր՝ ՀՀ ԿԲ:</w:t>
      </w:r>
    </w:p>
  </w:footnote>
  <w:footnote w:id="26">
    <w:p w:rsidR="0058703C" w:rsidRPr="00785E13" w:rsidRDefault="0058703C" w:rsidP="00785E13">
      <w:pPr>
        <w:pStyle w:val="FootnoteText"/>
        <w:tabs>
          <w:tab w:val="left" w:pos="142"/>
        </w:tabs>
        <w:jc w:val="both"/>
        <w:rPr>
          <w:rFonts w:ascii="GHEA Grapalat" w:hAnsi="GHEA Grapalat" w:cs="Sylfaen"/>
          <w:sz w:val="18"/>
          <w:szCs w:val="18"/>
        </w:rPr>
      </w:pPr>
      <w:r w:rsidRPr="00785E13">
        <w:rPr>
          <w:rStyle w:val="FootnoteReference"/>
          <w:rFonts w:ascii="GHEA Grapalat" w:hAnsi="GHEA Grapalat"/>
          <w:sz w:val="18"/>
          <w:szCs w:val="18"/>
        </w:rPr>
        <w:footnoteRef/>
      </w:r>
      <w:r w:rsidRPr="00785E13">
        <w:rPr>
          <w:rFonts w:ascii="GHEA Grapalat" w:eastAsia="GHEA Grapalat" w:hAnsi="GHEA Grapalat" w:cs="GHEA Grapalat"/>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7">
    <w:p w:rsidR="0058703C" w:rsidRPr="00785E13" w:rsidRDefault="0058703C" w:rsidP="00785E13">
      <w:pPr>
        <w:pStyle w:val="FootnoteText"/>
        <w:jc w:val="both"/>
      </w:pPr>
      <w:r w:rsidRPr="00785E13">
        <w:rPr>
          <w:rStyle w:val="FootnoteReference"/>
          <w:rFonts w:ascii="GHEA Grapalat" w:hAnsi="GHEA Grapalat"/>
          <w:sz w:val="18"/>
          <w:szCs w:val="18"/>
        </w:rPr>
        <w:footnoteRef/>
      </w:r>
      <w:r w:rsidRPr="00785E13">
        <w:rPr>
          <w:rFonts w:ascii="GHEA Grapalat" w:hAnsi="GHEA Grapalat"/>
          <w:sz w:val="18"/>
          <w:szCs w:val="18"/>
        </w:rPr>
        <w:t xml:space="preserve"> Աղբյուրը՝ Հ</w:t>
      </w:r>
      <w:r>
        <w:rPr>
          <w:rFonts w:ascii="GHEA Grapalat" w:hAnsi="GHEA Grapalat"/>
          <w:sz w:val="18"/>
          <w:szCs w:val="18"/>
        </w:rPr>
        <w:t>Հ ԿԲ և ՀՀ ՖՆ հաշվարկներ: 2022թ.</w:t>
      </w:r>
      <w:r w:rsidRPr="00785E13">
        <w:rPr>
          <w:rFonts w:ascii="GHEA Grapalat" w:hAnsi="GHEA Grapalat"/>
          <w:sz w:val="18"/>
          <w:szCs w:val="18"/>
        </w:rPr>
        <w:t xml:space="preserve"> համար</w:t>
      </w:r>
      <w:r>
        <w:rPr>
          <w:rFonts w:ascii="GHEA Grapalat" w:hAnsi="GHEA Grapalat"/>
          <w:sz w:val="18"/>
          <w:szCs w:val="18"/>
        </w:rPr>
        <w:t xml:space="preserve"> </w:t>
      </w:r>
      <w:r w:rsidRPr="00785E13">
        <w:rPr>
          <w:rFonts w:ascii="GHEA Grapalat" w:hAnsi="GHEA Grapalat"/>
          <w:sz w:val="18"/>
          <w:szCs w:val="18"/>
        </w:rPr>
        <w:t>առանց դրամի արժևորման վարկերի և ավանդների աճի տեմպերը ՀՀ ՖՆ գնահատականն են՝ արտարժութային վարկերի և ավանդների հաշվարկի համար հիմք ընդունելով 2022թ</w:t>
      </w:r>
      <w:r>
        <w:rPr>
          <w:rFonts w:ascii="GHEA Grapalat" w:hAnsi="GHEA Grapalat"/>
          <w:sz w:val="18"/>
          <w:szCs w:val="18"/>
        </w:rPr>
        <w:t>.</w:t>
      </w:r>
      <w:r w:rsidRPr="00785E13">
        <w:rPr>
          <w:rFonts w:ascii="GHEA Grapalat" w:hAnsi="GHEA Grapalat"/>
          <w:sz w:val="18"/>
          <w:szCs w:val="18"/>
        </w:rPr>
        <w:t xml:space="preserve"> փետրվարի վերջի ԱՄՆ դոլար/ՀՀ դրամ փոխարժեքը։</w:t>
      </w:r>
    </w:p>
  </w:footnote>
  <w:footnote w:id="28">
    <w:p w:rsidR="0058703C" w:rsidRPr="00785E13" w:rsidRDefault="0058703C" w:rsidP="00785E13">
      <w:pPr>
        <w:pStyle w:val="FootnoteText"/>
        <w:rPr>
          <w:rFonts w:ascii="GHEA Grapalat" w:hAnsi="GHEA Grapalat"/>
          <w:sz w:val="18"/>
        </w:rPr>
      </w:pPr>
      <w:r w:rsidRPr="00785E13">
        <w:rPr>
          <w:rStyle w:val="FootnoteReference"/>
          <w:rFonts w:ascii="GHEA Grapalat" w:hAnsi="GHEA Grapalat"/>
          <w:sz w:val="18"/>
        </w:rPr>
        <w:footnoteRef/>
      </w:r>
      <w:r w:rsidRPr="00785E13">
        <w:rPr>
          <w:rFonts w:ascii="GHEA Grapalat" w:hAnsi="GHEA Grapalat"/>
          <w:sz w:val="18"/>
        </w:rPr>
        <w:t xml:space="preserve"> Ըստ ՀՀ ՖՆ գնահատականների։ </w:t>
      </w:r>
    </w:p>
  </w:footnote>
  <w:footnote w:id="29">
    <w:p w:rsidR="0058703C" w:rsidRPr="00F33D64" w:rsidRDefault="0058703C" w:rsidP="007A2730">
      <w:pPr>
        <w:pStyle w:val="FootnoteText"/>
        <w:jc w:val="both"/>
        <w:rPr>
          <w:rFonts w:ascii="GHEA Grapalat" w:eastAsia="GHEA Grapalat" w:hAnsi="GHEA Grapalat" w:cs="GHEA Grapalat"/>
          <w:color w:val="000000"/>
          <w:sz w:val="18"/>
          <w:szCs w:val="18"/>
        </w:rPr>
      </w:pPr>
      <w:r w:rsidRPr="00F33D64">
        <w:rPr>
          <w:rStyle w:val="FootnoteReference"/>
          <w:rFonts w:ascii="GHEA Grapalat" w:hAnsi="GHEA Grapalat"/>
          <w:sz w:val="18"/>
          <w:szCs w:val="18"/>
        </w:rPr>
        <w:footnoteRef/>
      </w:r>
      <w:r w:rsidRPr="00F33D64">
        <w:rPr>
          <w:rFonts w:ascii="GHEA Grapalat" w:hAnsi="GHEA Grapalat"/>
          <w:sz w:val="18"/>
          <w:szCs w:val="18"/>
        </w:rPr>
        <w:t xml:space="preserve"> </w:t>
      </w:r>
      <w:r w:rsidRPr="00F33D64">
        <w:rPr>
          <w:rFonts w:ascii="GHEA Grapalat" w:eastAsia="GHEA Grapalat" w:hAnsi="GHEA Grapalat" w:cs="GHEA Grapalat"/>
          <w:color w:val="000000"/>
          <w:sz w:val="18"/>
          <w:szCs w:val="18"/>
        </w:rPr>
        <w:t>Աղբյուրը՝ ՀՀ ՖՆ գնահատական</w:t>
      </w:r>
    </w:p>
    <w:p w:rsidR="0058703C" w:rsidRPr="00F33D64" w:rsidRDefault="0058703C" w:rsidP="007A2730">
      <w:pPr>
        <w:pStyle w:val="FootnoteText"/>
        <w:jc w:val="both"/>
        <w:rPr>
          <w:rFonts w:ascii="GHEA Grapalat" w:hAnsi="GHEA Grapalat"/>
          <w:sz w:val="18"/>
          <w:szCs w:val="18"/>
        </w:rPr>
      </w:pPr>
      <w:r w:rsidRPr="00F33D64">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վարկավորման գումարները:</w:t>
      </w:r>
    </w:p>
  </w:footnote>
  <w:footnote w:id="30">
    <w:p w:rsidR="0058703C" w:rsidRPr="00F33D64" w:rsidRDefault="0058703C" w:rsidP="00F33D64">
      <w:pPr>
        <w:pStyle w:val="FootnoteText"/>
        <w:jc w:val="both"/>
        <w:rPr>
          <w:rFonts w:ascii="GHEA Grapalat" w:eastAsia="GHEA Grapalat" w:hAnsi="GHEA Grapalat" w:cs="GHEA Grapalat"/>
          <w:color w:val="000000"/>
          <w:sz w:val="18"/>
          <w:szCs w:val="18"/>
        </w:rPr>
      </w:pPr>
      <w:r w:rsidRPr="00F33D64">
        <w:rPr>
          <w:rStyle w:val="FootnoteReference"/>
          <w:rFonts w:ascii="GHEA Grapalat" w:hAnsi="GHEA Grapalat"/>
          <w:sz w:val="18"/>
          <w:szCs w:val="18"/>
        </w:rPr>
        <w:footnoteRef/>
      </w:r>
      <w:r w:rsidRPr="00F33D64">
        <w:rPr>
          <w:rFonts w:ascii="GHEA Grapalat" w:hAnsi="GHEA Grapalat"/>
          <w:sz w:val="18"/>
          <w:szCs w:val="18"/>
        </w:rPr>
        <w:t xml:space="preserve"> </w:t>
      </w:r>
      <w:r w:rsidRPr="00F33D64">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661B3"/>
    <w:multiLevelType w:val="hybridMultilevel"/>
    <w:tmpl w:val="FD58BE3C"/>
    <w:lvl w:ilvl="0" w:tplc="913C2104">
      <w:start w:val="1"/>
      <w:numFmt w:val="decimal"/>
      <w:lvlText w:val="Գծապատկեր %1."/>
      <w:lvlJc w:val="left"/>
      <w:pPr>
        <w:ind w:left="728" w:hanging="360"/>
      </w:pPr>
      <w:rPr>
        <w:rFonts w:ascii="GHEA Grapalat" w:hAnsi="GHEA Grapalat" w:hint="default"/>
        <w:b/>
        <w:i/>
        <w:sz w:val="16"/>
        <w:szCs w:val="22"/>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 w15:restartNumberingAfterBreak="0">
    <w:nsid w:val="0A6F62E6"/>
    <w:multiLevelType w:val="hybridMultilevel"/>
    <w:tmpl w:val="459840A8"/>
    <w:lvl w:ilvl="0" w:tplc="C2720478">
      <w:start w:val="1"/>
      <w:numFmt w:val="decimal"/>
      <w:lvlText w:val="Գծապատկեր %1."/>
      <w:lvlJc w:val="left"/>
      <w:pPr>
        <w:ind w:left="72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E55C0"/>
    <w:multiLevelType w:val="hybridMultilevel"/>
    <w:tmpl w:val="9B5CB09A"/>
    <w:lvl w:ilvl="0" w:tplc="B8A6444C">
      <w:start w:val="5"/>
      <w:numFmt w:val="decimal"/>
      <w:lvlText w:val="Գծապատկեր %1."/>
      <w:lvlJc w:val="left"/>
      <w:pPr>
        <w:ind w:left="2629" w:hanging="360"/>
      </w:pPr>
      <w:rPr>
        <w:rFonts w:ascii="GHEA Grapalat" w:hAnsi="GHEA Grapalat" w:hint="default"/>
        <w:b/>
        <w:i/>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17B22D1B"/>
    <w:multiLevelType w:val="hybridMultilevel"/>
    <w:tmpl w:val="25F45C94"/>
    <w:lvl w:ilvl="0" w:tplc="913C2104">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17E80"/>
    <w:multiLevelType w:val="hybridMultilevel"/>
    <w:tmpl w:val="B1F0D9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FC232E5"/>
    <w:multiLevelType w:val="hybridMultilevel"/>
    <w:tmpl w:val="2280DC4E"/>
    <w:lvl w:ilvl="0" w:tplc="4F2E29AE">
      <w:start w:val="5"/>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6"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9" w15:restartNumberingAfterBreak="0">
    <w:nsid w:val="6FE15BBB"/>
    <w:multiLevelType w:val="hybridMultilevel"/>
    <w:tmpl w:val="35FEA682"/>
    <w:lvl w:ilvl="0" w:tplc="647ED506">
      <w:start w:val="12"/>
      <w:numFmt w:val="decimal"/>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78287640"/>
    <w:multiLevelType w:val="hybridMultilevel"/>
    <w:tmpl w:val="A3B60F5E"/>
    <w:lvl w:ilvl="0" w:tplc="3C96B1F6">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7FAA68B6"/>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abstractNumId w:val="20"/>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9"/>
  </w:num>
  <w:num w:numId="5">
    <w:abstractNumId w:val="18"/>
  </w:num>
  <w:num w:numId="6">
    <w:abstractNumId w:val="15"/>
  </w:num>
  <w:num w:numId="7">
    <w:abstractNumId w:val="16"/>
  </w:num>
  <w:num w:numId="8">
    <w:abstractNumId w:val="10"/>
  </w:num>
  <w:num w:numId="9">
    <w:abstractNumId w:val="5"/>
  </w:num>
  <w:num w:numId="10">
    <w:abstractNumId w:val="8"/>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4"/>
  </w:num>
  <w:num w:numId="1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2"/>
  </w:num>
  <w:num w:numId="17">
    <w:abstractNumId w:val="13"/>
  </w:num>
  <w:num w:numId="18">
    <w:abstractNumId w:val="2"/>
  </w:num>
  <w:num w:numId="19">
    <w:abstractNumId w:val="22"/>
  </w:num>
  <w:num w:numId="20">
    <w:abstractNumId w:val="22"/>
  </w:num>
  <w:num w:numId="21">
    <w:abstractNumId w:val="22"/>
  </w:num>
  <w:num w:numId="22">
    <w:abstractNumId w:val="22"/>
  </w:num>
  <w:num w:numId="23">
    <w:abstractNumId w:val="22"/>
  </w:num>
  <w:num w:numId="24">
    <w:abstractNumId w:val="22"/>
  </w:num>
  <w:num w:numId="25">
    <w:abstractNumId w:val="22"/>
  </w:num>
  <w:num w:numId="26">
    <w:abstractNumId w:val="22"/>
  </w:num>
  <w:num w:numId="27">
    <w:abstractNumId w:val="22"/>
  </w:num>
  <w:num w:numId="28">
    <w:abstractNumId w:val="3"/>
  </w:num>
  <w:num w:numId="29">
    <w:abstractNumId w:val="4"/>
  </w:num>
  <w:num w:numId="30">
    <w:abstractNumId w:val="11"/>
  </w:num>
  <w:num w:numId="31">
    <w:abstractNumId w:val="6"/>
  </w:num>
  <w:num w:numId="32">
    <w:abstractNumId w:val="19"/>
  </w:num>
  <w:num w:numId="33">
    <w:abstractNumId w:val="21"/>
  </w:num>
  <w:num w:numId="34">
    <w:abstractNumId w:val="7"/>
  </w:num>
  <w:num w:numId="35">
    <w:abstractNumId w:val="17"/>
  </w:num>
  <w:num w:numId="36">
    <w:abstractNumId w:val="13"/>
  </w:num>
  <w:num w:numId="37">
    <w:abstractNumId w:val="24"/>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AT" w:vendorID="64" w:dllVersion="4096" w:nlCheck="1" w:checkStyle="0"/>
  <w:activeWritingStyle w:appName="MSWord" w:lang="en-US" w:vendorID="64" w:dllVersion="131078" w:nlCheck="1" w:checkStyle="0"/>
  <w:activeWritingStyle w:appName="MSWord" w:lang="fr-FR" w:vendorID="64" w:dllVersion="131078" w:nlCheck="1" w:checkStyle="1"/>
  <w:activeWritingStyle w:appName="MSWord" w:lang="de-AT"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59F"/>
    <w:rsid w:val="000008BF"/>
    <w:rsid w:val="00000B30"/>
    <w:rsid w:val="00000B8F"/>
    <w:rsid w:val="00000CC6"/>
    <w:rsid w:val="00000D27"/>
    <w:rsid w:val="00001056"/>
    <w:rsid w:val="0000105D"/>
    <w:rsid w:val="00001128"/>
    <w:rsid w:val="000011F1"/>
    <w:rsid w:val="00001662"/>
    <w:rsid w:val="00001A2F"/>
    <w:rsid w:val="00001C9D"/>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51A1"/>
    <w:rsid w:val="00005FE7"/>
    <w:rsid w:val="000062A7"/>
    <w:rsid w:val="00006BE1"/>
    <w:rsid w:val="00006C8E"/>
    <w:rsid w:val="00006D44"/>
    <w:rsid w:val="00006F51"/>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2DBA"/>
    <w:rsid w:val="00013BAF"/>
    <w:rsid w:val="0001467A"/>
    <w:rsid w:val="000158E4"/>
    <w:rsid w:val="00015A48"/>
    <w:rsid w:val="00015A8F"/>
    <w:rsid w:val="00015E17"/>
    <w:rsid w:val="0001629D"/>
    <w:rsid w:val="000164D9"/>
    <w:rsid w:val="00017132"/>
    <w:rsid w:val="00017218"/>
    <w:rsid w:val="00017681"/>
    <w:rsid w:val="00020049"/>
    <w:rsid w:val="00020407"/>
    <w:rsid w:val="00020C2C"/>
    <w:rsid w:val="00020D2D"/>
    <w:rsid w:val="000211AB"/>
    <w:rsid w:val="0002130B"/>
    <w:rsid w:val="000217F0"/>
    <w:rsid w:val="00021C51"/>
    <w:rsid w:val="00022212"/>
    <w:rsid w:val="000222C5"/>
    <w:rsid w:val="000223BF"/>
    <w:rsid w:val="00022A88"/>
    <w:rsid w:val="00022F8E"/>
    <w:rsid w:val="000232C2"/>
    <w:rsid w:val="00023958"/>
    <w:rsid w:val="00023C80"/>
    <w:rsid w:val="00023E03"/>
    <w:rsid w:val="00023F42"/>
    <w:rsid w:val="00023FD5"/>
    <w:rsid w:val="00024068"/>
    <w:rsid w:val="000241ED"/>
    <w:rsid w:val="00024510"/>
    <w:rsid w:val="00024BE3"/>
    <w:rsid w:val="000257DD"/>
    <w:rsid w:val="00025B6D"/>
    <w:rsid w:val="00025C71"/>
    <w:rsid w:val="00027266"/>
    <w:rsid w:val="00027310"/>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E6C"/>
    <w:rsid w:val="00037FCE"/>
    <w:rsid w:val="00040285"/>
    <w:rsid w:val="00040458"/>
    <w:rsid w:val="000404CC"/>
    <w:rsid w:val="00040A33"/>
    <w:rsid w:val="00040CBC"/>
    <w:rsid w:val="00041126"/>
    <w:rsid w:val="000417E7"/>
    <w:rsid w:val="000419FD"/>
    <w:rsid w:val="00041D39"/>
    <w:rsid w:val="00041F1C"/>
    <w:rsid w:val="000422ED"/>
    <w:rsid w:val="000423AB"/>
    <w:rsid w:val="0004241C"/>
    <w:rsid w:val="00042900"/>
    <w:rsid w:val="00042AA2"/>
    <w:rsid w:val="00042B70"/>
    <w:rsid w:val="00042CB7"/>
    <w:rsid w:val="0004304A"/>
    <w:rsid w:val="00043219"/>
    <w:rsid w:val="00043303"/>
    <w:rsid w:val="00043415"/>
    <w:rsid w:val="00043CDF"/>
    <w:rsid w:val="00044115"/>
    <w:rsid w:val="0004424A"/>
    <w:rsid w:val="000442D5"/>
    <w:rsid w:val="0004480E"/>
    <w:rsid w:val="00044B6C"/>
    <w:rsid w:val="00044C1D"/>
    <w:rsid w:val="00045097"/>
    <w:rsid w:val="000457E3"/>
    <w:rsid w:val="00045922"/>
    <w:rsid w:val="00045F1D"/>
    <w:rsid w:val="00046182"/>
    <w:rsid w:val="00046DBB"/>
    <w:rsid w:val="00046E9C"/>
    <w:rsid w:val="00046EC2"/>
    <w:rsid w:val="00046EF6"/>
    <w:rsid w:val="00047624"/>
    <w:rsid w:val="0005023D"/>
    <w:rsid w:val="000504E3"/>
    <w:rsid w:val="000506B4"/>
    <w:rsid w:val="00050F0E"/>
    <w:rsid w:val="000513D9"/>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4A"/>
    <w:rsid w:val="00053A90"/>
    <w:rsid w:val="00053C94"/>
    <w:rsid w:val="00054624"/>
    <w:rsid w:val="00055668"/>
    <w:rsid w:val="000557B4"/>
    <w:rsid w:val="000559D8"/>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6648"/>
    <w:rsid w:val="00067106"/>
    <w:rsid w:val="000677FB"/>
    <w:rsid w:val="00067916"/>
    <w:rsid w:val="000702B1"/>
    <w:rsid w:val="0007069D"/>
    <w:rsid w:val="0007075E"/>
    <w:rsid w:val="00070B99"/>
    <w:rsid w:val="00070ED4"/>
    <w:rsid w:val="000710A9"/>
    <w:rsid w:val="00071461"/>
    <w:rsid w:val="000715C1"/>
    <w:rsid w:val="00071BFB"/>
    <w:rsid w:val="00071E16"/>
    <w:rsid w:val="00071EF6"/>
    <w:rsid w:val="000722F9"/>
    <w:rsid w:val="00072746"/>
    <w:rsid w:val="00072776"/>
    <w:rsid w:val="00072917"/>
    <w:rsid w:val="00072933"/>
    <w:rsid w:val="00072BC8"/>
    <w:rsid w:val="00072BF4"/>
    <w:rsid w:val="00073125"/>
    <w:rsid w:val="00073296"/>
    <w:rsid w:val="00073EEA"/>
    <w:rsid w:val="00074532"/>
    <w:rsid w:val="00074829"/>
    <w:rsid w:val="00074F9B"/>
    <w:rsid w:val="00075484"/>
    <w:rsid w:val="00075682"/>
    <w:rsid w:val="00075BBB"/>
    <w:rsid w:val="000760D0"/>
    <w:rsid w:val="000763A2"/>
    <w:rsid w:val="00076548"/>
    <w:rsid w:val="000769F7"/>
    <w:rsid w:val="00076BEC"/>
    <w:rsid w:val="000776C2"/>
    <w:rsid w:val="00077865"/>
    <w:rsid w:val="000778EC"/>
    <w:rsid w:val="00077AB6"/>
    <w:rsid w:val="00077CF6"/>
    <w:rsid w:val="00080A6A"/>
    <w:rsid w:val="00080C7F"/>
    <w:rsid w:val="000810CD"/>
    <w:rsid w:val="0008143C"/>
    <w:rsid w:val="00081C42"/>
    <w:rsid w:val="00081C50"/>
    <w:rsid w:val="0008296E"/>
    <w:rsid w:val="00082C94"/>
    <w:rsid w:val="00082E2B"/>
    <w:rsid w:val="000831EF"/>
    <w:rsid w:val="000837E3"/>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093B"/>
    <w:rsid w:val="000910AA"/>
    <w:rsid w:val="00091207"/>
    <w:rsid w:val="0009120E"/>
    <w:rsid w:val="00091DE9"/>
    <w:rsid w:val="00092206"/>
    <w:rsid w:val="000925C8"/>
    <w:rsid w:val="00092CDA"/>
    <w:rsid w:val="00092D7E"/>
    <w:rsid w:val="00092DFE"/>
    <w:rsid w:val="00092FE8"/>
    <w:rsid w:val="00092FF5"/>
    <w:rsid w:val="0009304F"/>
    <w:rsid w:val="000930E8"/>
    <w:rsid w:val="0009326E"/>
    <w:rsid w:val="000934C5"/>
    <w:rsid w:val="000935B0"/>
    <w:rsid w:val="00093A0E"/>
    <w:rsid w:val="00093F78"/>
    <w:rsid w:val="0009408E"/>
    <w:rsid w:val="00094B8A"/>
    <w:rsid w:val="0009531A"/>
    <w:rsid w:val="0009536E"/>
    <w:rsid w:val="000959EB"/>
    <w:rsid w:val="00095B5B"/>
    <w:rsid w:val="00095DAC"/>
    <w:rsid w:val="00096C25"/>
    <w:rsid w:val="00097145"/>
    <w:rsid w:val="000977F9"/>
    <w:rsid w:val="000A00F2"/>
    <w:rsid w:val="000A0728"/>
    <w:rsid w:val="000A0910"/>
    <w:rsid w:val="000A0F70"/>
    <w:rsid w:val="000A0F85"/>
    <w:rsid w:val="000A1327"/>
    <w:rsid w:val="000A13EE"/>
    <w:rsid w:val="000A1454"/>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EC"/>
    <w:rsid w:val="000A5D74"/>
    <w:rsid w:val="000A62A3"/>
    <w:rsid w:val="000A6673"/>
    <w:rsid w:val="000A67FF"/>
    <w:rsid w:val="000A698C"/>
    <w:rsid w:val="000A6ACE"/>
    <w:rsid w:val="000A6FCA"/>
    <w:rsid w:val="000A7633"/>
    <w:rsid w:val="000B0356"/>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5693"/>
    <w:rsid w:val="000B6458"/>
    <w:rsid w:val="000B67DC"/>
    <w:rsid w:val="000B7B4F"/>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BC4"/>
    <w:rsid w:val="000C6364"/>
    <w:rsid w:val="000C6513"/>
    <w:rsid w:val="000C661D"/>
    <w:rsid w:val="000C66E3"/>
    <w:rsid w:val="000C68C3"/>
    <w:rsid w:val="000C73D8"/>
    <w:rsid w:val="000C779C"/>
    <w:rsid w:val="000C7A92"/>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5FD9"/>
    <w:rsid w:val="000D6201"/>
    <w:rsid w:val="000D6397"/>
    <w:rsid w:val="000D6848"/>
    <w:rsid w:val="000D6918"/>
    <w:rsid w:val="000D7145"/>
    <w:rsid w:val="000D71D0"/>
    <w:rsid w:val="000D7226"/>
    <w:rsid w:val="000D7A77"/>
    <w:rsid w:val="000D7D4C"/>
    <w:rsid w:val="000D7EF5"/>
    <w:rsid w:val="000E02B5"/>
    <w:rsid w:val="000E08DA"/>
    <w:rsid w:val="000E08E0"/>
    <w:rsid w:val="000E08E1"/>
    <w:rsid w:val="000E0E7B"/>
    <w:rsid w:val="000E17F6"/>
    <w:rsid w:val="000E1AE6"/>
    <w:rsid w:val="000E2342"/>
    <w:rsid w:val="000E2648"/>
    <w:rsid w:val="000E2AEB"/>
    <w:rsid w:val="000E2CB0"/>
    <w:rsid w:val="000E2D89"/>
    <w:rsid w:val="000E36BF"/>
    <w:rsid w:val="000E3EEF"/>
    <w:rsid w:val="000E440D"/>
    <w:rsid w:val="000E459E"/>
    <w:rsid w:val="000E45F5"/>
    <w:rsid w:val="000E50D7"/>
    <w:rsid w:val="000E561C"/>
    <w:rsid w:val="000E5AAC"/>
    <w:rsid w:val="000E5AC9"/>
    <w:rsid w:val="000E5C16"/>
    <w:rsid w:val="000E607C"/>
    <w:rsid w:val="000E6593"/>
    <w:rsid w:val="000E65BD"/>
    <w:rsid w:val="000E66A4"/>
    <w:rsid w:val="000E693B"/>
    <w:rsid w:val="000F010A"/>
    <w:rsid w:val="000F01B4"/>
    <w:rsid w:val="000F04EB"/>
    <w:rsid w:val="000F0A36"/>
    <w:rsid w:val="000F0A76"/>
    <w:rsid w:val="000F0DD9"/>
    <w:rsid w:val="000F1737"/>
    <w:rsid w:val="000F1828"/>
    <w:rsid w:val="000F1D6B"/>
    <w:rsid w:val="000F23F8"/>
    <w:rsid w:val="000F2986"/>
    <w:rsid w:val="000F2B7E"/>
    <w:rsid w:val="000F30C0"/>
    <w:rsid w:val="000F3292"/>
    <w:rsid w:val="000F3719"/>
    <w:rsid w:val="000F382C"/>
    <w:rsid w:val="000F392F"/>
    <w:rsid w:val="000F3D60"/>
    <w:rsid w:val="000F4239"/>
    <w:rsid w:val="000F479F"/>
    <w:rsid w:val="000F47F8"/>
    <w:rsid w:val="000F49A9"/>
    <w:rsid w:val="000F511A"/>
    <w:rsid w:val="000F5223"/>
    <w:rsid w:val="000F5433"/>
    <w:rsid w:val="000F5481"/>
    <w:rsid w:val="000F5647"/>
    <w:rsid w:val="000F589E"/>
    <w:rsid w:val="000F5B1D"/>
    <w:rsid w:val="000F5B8C"/>
    <w:rsid w:val="000F5F7A"/>
    <w:rsid w:val="000F6AAE"/>
    <w:rsid w:val="000F72F5"/>
    <w:rsid w:val="000F7533"/>
    <w:rsid w:val="000F75DD"/>
    <w:rsid w:val="000F7F2A"/>
    <w:rsid w:val="000F7F5E"/>
    <w:rsid w:val="0010015A"/>
    <w:rsid w:val="001004D8"/>
    <w:rsid w:val="001009B9"/>
    <w:rsid w:val="00101080"/>
    <w:rsid w:val="00101608"/>
    <w:rsid w:val="001019D8"/>
    <w:rsid w:val="00101C53"/>
    <w:rsid w:val="00101E99"/>
    <w:rsid w:val="00101EC2"/>
    <w:rsid w:val="00102838"/>
    <w:rsid w:val="0010292C"/>
    <w:rsid w:val="001029BA"/>
    <w:rsid w:val="00102BD7"/>
    <w:rsid w:val="00102FAB"/>
    <w:rsid w:val="00104D90"/>
    <w:rsid w:val="0010525B"/>
    <w:rsid w:val="0010537C"/>
    <w:rsid w:val="00105703"/>
    <w:rsid w:val="00105757"/>
    <w:rsid w:val="00105FE9"/>
    <w:rsid w:val="001063E9"/>
    <w:rsid w:val="001066F3"/>
    <w:rsid w:val="001068A5"/>
    <w:rsid w:val="00106C41"/>
    <w:rsid w:val="00107170"/>
    <w:rsid w:val="001071A7"/>
    <w:rsid w:val="00107584"/>
    <w:rsid w:val="00107689"/>
    <w:rsid w:val="00107A4D"/>
    <w:rsid w:val="00107DB5"/>
    <w:rsid w:val="00110073"/>
    <w:rsid w:val="001103D9"/>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B42"/>
    <w:rsid w:val="00113E7E"/>
    <w:rsid w:val="0011404C"/>
    <w:rsid w:val="0011473D"/>
    <w:rsid w:val="00114DF7"/>
    <w:rsid w:val="00115A51"/>
    <w:rsid w:val="00115B85"/>
    <w:rsid w:val="001161C7"/>
    <w:rsid w:val="00116295"/>
    <w:rsid w:val="00116618"/>
    <w:rsid w:val="0011667C"/>
    <w:rsid w:val="00116AC0"/>
    <w:rsid w:val="00116BDF"/>
    <w:rsid w:val="00120218"/>
    <w:rsid w:val="00120584"/>
    <w:rsid w:val="00121052"/>
    <w:rsid w:val="00121233"/>
    <w:rsid w:val="001213D9"/>
    <w:rsid w:val="00121DDF"/>
    <w:rsid w:val="00121FA4"/>
    <w:rsid w:val="00122972"/>
    <w:rsid w:val="00123C2D"/>
    <w:rsid w:val="00123FD7"/>
    <w:rsid w:val="001243F3"/>
    <w:rsid w:val="001246C0"/>
    <w:rsid w:val="0012480D"/>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0B78"/>
    <w:rsid w:val="0013131F"/>
    <w:rsid w:val="0013158E"/>
    <w:rsid w:val="00131861"/>
    <w:rsid w:val="0013195E"/>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888"/>
    <w:rsid w:val="00135D72"/>
    <w:rsid w:val="001363DF"/>
    <w:rsid w:val="00136B7B"/>
    <w:rsid w:val="00136E60"/>
    <w:rsid w:val="001376F7"/>
    <w:rsid w:val="0013772C"/>
    <w:rsid w:val="00137970"/>
    <w:rsid w:val="0014012C"/>
    <w:rsid w:val="00140193"/>
    <w:rsid w:val="001402CF"/>
    <w:rsid w:val="00140A82"/>
    <w:rsid w:val="00140F3A"/>
    <w:rsid w:val="0014138F"/>
    <w:rsid w:val="001415E8"/>
    <w:rsid w:val="00141B99"/>
    <w:rsid w:val="00141C2F"/>
    <w:rsid w:val="001420B7"/>
    <w:rsid w:val="0014241E"/>
    <w:rsid w:val="00142659"/>
    <w:rsid w:val="001429C8"/>
    <w:rsid w:val="00142B12"/>
    <w:rsid w:val="00142DA1"/>
    <w:rsid w:val="001430CF"/>
    <w:rsid w:val="0014333B"/>
    <w:rsid w:val="00143704"/>
    <w:rsid w:val="0014378E"/>
    <w:rsid w:val="00143939"/>
    <w:rsid w:val="00143C1C"/>
    <w:rsid w:val="001445A4"/>
    <w:rsid w:val="00144B31"/>
    <w:rsid w:val="001450E0"/>
    <w:rsid w:val="00145F1C"/>
    <w:rsid w:val="00146010"/>
    <w:rsid w:val="001472B2"/>
    <w:rsid w:val="0014778B"/>
    <w:rsid w:val="00150057"/>
    <w:rsid w:val="0015008A"/>
    <w:rsid w:val="001509F7"/>
    <w:rsid w:val="00150C0E"/>
    <w:rsid w:val="00150F4B"/>
    <w:rsid w:val="00151124"/>
    <w:rsid w:val="001513A3"/>
    <w:rsid w:val="001513D7"/>
    <w:rsid w:val="001515A7"/>
    <w:rsid w:val="0015166B"/>
    <w:rsid w:val="00151C39"/>
    <w:rsid w:val="00151EFB"/>
    <w:rsid w:val="00152B8F"/>
    <w:rsid w:val="00152BEA"/>
    <w:rsid w:val="00152F82"/>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151"/>
    <w:rsid w:val="001603D8"/>
    <w:rsid w:val="0016068D"/>
    <w:rsid w:val="001607A1"/>
    <w:rsid w:val="001609FD"/>
    <w:rsid w:val="00160B84"/>
    <w:rsid w:val="00160CAF"/>
    <w:rsid w:val="00160F52"/>
    <w:rsid w:val="0016104E"/>
    <w:rsid w:val="001616B6"/>
    <w:rsid w:val="00161C6D"/>
    <w:rsid w:val="00162472"/>
    <w:rsid w:val="00162647"/>
    <w:rsid w:val="001628A4"/>
    <w:rsid w:val="00162CE6"/>
    <w:rsid w:val="00162E64"/>
    <w:rsid w:val="001634D1"/>
    <w:rsid w:val="0016369E"/>
    <w:rsid w:val="00164845"/>
    <w:rsid w:val="001650C4"/>
    <w:rsid w:val="00165285"/>
    <w:rsid w:val="001655E0"/>
    <w:rsid w:val="00166002"/>
    <w:rsid w:val="00166018"/>
    <w:rsid w:val="00166346"/>
    <w:rsid w:val="0016645C"/>
    <w:rsid w:val="001672C9"/>
    <w:rsid w:val="00167302"/>
    <w:rsid w:val="001673D8"/>
    <w:rsid w:val="00167518"/>
    <w:rsid w:val="00170134"/>
    <w:rsid w:val="00170AC8"/>
    <w:rsid w:val="00170F79"/>
    <w:rsid w:val="0017111D"/>
    <w:rsid w:val="00171AC0"/>
    <w:rsid w:val="00172226"/>
    <w:rsid w:val="0017289D"/>
    <w:rsid w:val="00173196"/>
    <w:rsid w:val="001734D0"/>
    <w:rsid w:val="0017374D"/>
    <w:rsid w:val="0017386F"/>
    <w:rsid w:val="00173C2D"/>
    <w:rsid w:val="00173D47"/>
    <w:rsid w:val="001745CE"/>
    <w:rsid w:val="00174654"/>
    <w:rsid w:val="001748EE"/>
    <w:rsid w:val="00174906"/>
    <w:rsid w:val="0017493B"/>
    <w:rsid w:val="001749A3"/>
    <w:rsid w:val="001754DD"/>
    <w:rsid w:val="0017597B"/>
    <w:rsid w:val="001763F3"/>
    <w:rsid w:val="001764E1"/>
    <w:rsid w:val="0017695C"/>
    <w:rsid w:val="001769A0"/>
    <w:rsid w:val="001779E2"/>
    <w:rsid w:val="00177A7D"/>
    <w:rsid w:val="00177AB3"/>
    <w:rsid w:val="00177E33"/>
    <w:rsid w:val="001800AF"/>
    <w:rsid w:val="00180101"/>
    <w:rsid w:val="001807D6"/>
    <w:rsid w:val="00180A83"/>
    <w:rsid w:val="00180C80"/>
    <w:rsid w:val="001816F5"/>
    <w:rsid w:val="001821E6"/>
    <w:rsid w:val="00182384"/>
    <w:rsid w:val="001828E9"/>
    <w:rsid w:val="00182C22"/>
    <w:rsid w:val="00182D91"/>
    <w:rsid w:val="00182DD8"/>
    <w:rsid w:val="001833C0"/>
    <w:rsid w:val="001841EF"/>
    <w:rsid w:val="00184E74"/>
    <w:rsid w:val="001855C7"/>
    <w:rsid w:val="0018564D"/>
    <w:rsid w:val="00185870"/>
    <w:rsid w:val="00185A70"/>
    <w:rsid w:val="001863FA"/>
    <w:rsid w:val="00187045"/>
    <w:rsid w:val="001871E8"/>
    <w:rsid w:val="0018720F"/>
    <w:rsid w:val="00187AA4"/>
    <w:rsid w:val="00187CC5"/>
    <w:rsid w:val="001913DD"/>
    <w:rsid w:val="001914D8"/>
    <w:rsid w:val="00191B51"/>
    <w:rsid w:val="00192104"/>
    <w:rsid w:val="0019227C"/>
    <w:rsid w:val="0019240F"/>
    <w:rsid w:val="0019253B"/>
    <w:rsid w:val="0019294F"/>
    <w:rsid w:val="00192A39"/>
    <w:rsid w:val="00192AA1"/>
    <w:rsid w:val="00192BB9"/>
    <w:rsid w:val="00192CB6"/>
    <w:rsid w:val="001935DA"/>
    <w:rsid w:val="00193655"/>
    <w:rsid w:val="00193DCF"/>
    <w:rsid w:val="0019441D"/>
    <w:rsid w:val="001948A5"/>
    <w:rsid w:val="00194B63"/>
    <w:rsid w:val="00194E77"/>
    <w:rsid w:val="00194E8C"/>
    <w:rsid w:val="0019574B"/>
    <w:rsid w:val="0019579A"/>
    <w:rsid w:val="001958A2"/>
    <w:rsid w:val="00195A44"/>
    <w:rsid w:val="00196396"/>
    <w:rsid w:val="0019684E"/>
    <w:rsid w:val="00196EB5"/>
    <w:rsid w:val="001970F5"/>
    <w:rsid w:val="001976FC"/>
    <w:rsid w:val="00197719"/>
    <w:rsid w:val="00197C1E"/>
    <w:rsid w:val="001A0BCE"/>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942"/>
    <w:rsid w:val="001A7B88"/>
    <w:rsid w:val="001A7D80"/>
    <w:rsid w:val="001B0247"/>
    <w:rsid w:val="001B09A3"/>
    <w:rsid w:val="001B0D2B"/>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195"/>
    <w:rsid w:val="001B6546"/>
    <w:rsid w:val="001B6807"/>
    <w:rsid w:val="001B6B0D"/>
    <w:rsid w:val="001B6CF6"/>
    <w:rsid w:val="001B6FA4"/>
    <w:rsid w:val="001B7566"/>
    <w:rsid w:val="001B7881"/>
    <w:rsid w:val="001B7FDA"/>
    <w:rsid w:val="001C03A8"/>
    <w:rsid w:val="001C05B7"/>
    <w:rsid w:val="001C05FE"/>
    <w:rsid w:val="001C0D1F"/>
    <w:rsid w:val="001C0D8B"/>
    <w:rsid w:val="001C0DB1"/>
    <w:rsid w:val="001C1200"/>
    <w:rsid w:val="001C1378"/>
    <w:rsid w:val="001C165B"/>
    <w:rsid w:val="001C1A31"/>
    <w:rsid w:val="001C228D"/>
    <w:rsid w:val="001C2633"/>
    <w:rsid w:val="001C2B59"/>
    <w:rsid w:val="001C2CA9"/>
    <w:rsid w:val="001C3187"/>
    <w:rsid w:val="001C34C1"/>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6A"/>
    <w:rsid w:val="001D0939"/>
    <w:rsid w:val="001D0C5D"/>
    <w:rsid w:val="001D0E09"/>
    <w:rsid w:val="001D1493"/>
    <w:rsid w:val="001D1571"/>
    <w:rsid w:val="001D171A"/>
    <w:rsid w:val="001D1F16"/>
    <w:rsid w:val="001D2028"/>
    <w:rsid w:val="001D2251"/>
    <w:rsid w:val="001D2356"/>
    <w:rsid w:val="001D24CF"/>
    <w:rsid w:val="001D2867"/>
    <w:rsid w:val="001D28DE"/>
    <w:rsid w:val="001D2EAB"/>
    <w:rsid w:val="001D3125"/>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3392"/>
    <w:rsid w:val="001E33A0"/>
    <w:rsid w:val="001E3944"/>
    <w:rsid w:val="001E3999"/>
    <w:rsid w:val="001E3A38"/>
    <w:rsid w:val="001E40F8"/>
    <w:rsid w:val="001E4393"/>
    <w:rsid w:val="001E57E0"/>
    <w:rsid w:val="001E5A18"/>
    <w:rsid w:val="001E63BA"/>
    <w:rsid w:val="001E6F9F"/>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A87"/>
    <w:rsid w:val="001F509D"/>
    <w:rsid w:val="001F53DC"/>
    <w:rsid w:val="001F5684"/>
    <w:rsid w:val="001F56B2"/>
    <w:rsid w:val="001F58C4"/>
    <w:rsid w:val="001F5A85"/>
    <w:rsid w:val="001F6E53"/>
    <w:rsid w:val="001F6E8C"/>
    <w:rsid w:val="001F76F5"/>
    <w:rsid w:val="001F7839"/>
    <w:rsid w:val="001F7B05"/>
    <w:rsid w:val="001F7D18"/>
    <w:rsid w:val="00200008"/>
    <w:rsid w:val="002001F0"/>
    <w:rsid w:val="00200648"/>
    <w:rsid w:val="00200654"/>
    <w:rsid w:val="002006A0"/>
    <w:rsid w:val="00200996"/>
    <w:rsid w:val="00200A82"/>
    <w:rsid w:val="0020122A"/>
    <w:rsid w:val="002013E5"/>
    <w:rsid w:val="00202020"/>
    <w:rsid w:val="00203011"/>
    <w:rsid w:val="0020315E"/>
    <w:rsid w:val="0020317D"/>
    <w:rsid w:val="00203982"/>
    <w:rsid w:val="00203ACE"/>
    <w:rsid w:val="00204364"/>
    <w:rsid w:val="00204C21"/>
    <w:rsid w:val="00204CB9"/>
    <w:rsid w:val="00205003"/>
    <w:rsid w:val="00205A1D"/>
    <w:rsid w:val="00206281"/>
    <w:rsid w:val="002065CF"/>
    <w:rsid w:val="00206604"/>
    <w:rsid w:val="0020672B"/>
    <w:rsid w:val="00206803"/>
    <w:rsid w:val="002074E1"/>
    <w:rsid w:val="002075BB"/>
    <w:rsid w:val="00207A92"/>
    <w:rsid w:val="00207AE1"/>
    <w:rsid w:val="00207C75"/>
    <w:rsid w:val="00207E2A"/>
    <w:rsid w:val="00207EA1"/>
    <w:rsid w:val="00210068"/>
    <w:rsid w:val="00210736"/>
    <w:rsid w:val="00210AF5"/>
    <w:rsid w:val="00210D0E"/>
    <w:rsid w:val="00210FC3"/>
    <w:rsid w:val="0021153D"/>
    <w:rsid w:val="00211609"/>
    <w:rsid w:val="00211976"/>
    <w:rsid w:val="002119B5"/>
    <w:rsid w:val="00211DFB"/>
    <w:rsid w:val="00211E93"/>
    <w:rsid w:val="00211F41"/>
    <w:rsid w:val="00211FB6"/>
    <w:rsid w:val="0021223F"/>
    <w:rsid w:val="002122E1"/>
    <w:rsid w:val="00212520"/>
    <w:rsid w:val="002127B3"/>
    <w:rsid w:val="00212926"/>
    <w:rsid w:val="0021352E"/>
    <w:rsid w:val="00214A42"/>
    <w:rsid w:val="00214A63"/>
    <w:rsid w:val="00214D89"/>
    <w:rsid w:val="00214DD2"/>
    <w:rsid w:val="002157F2"/>
    <w:rsid w:val="00215EDB"/>
    <w:rsid w:val="00216631"/>
    <w:rsid w:val="0021671A"/>
    <w:rsid w:val="00216C49"/>
    <w:rsid w:val="00217093"/>
    <w:rsid w:val="002174A2"/>
    <w:rsid w:val="00217FCC"/>
    <w:rsid w:val="002206A9"/>
    <w:rsid w:val="00220A7B"/>
    <w:rsid w:val="00220DBB"/>
    <w:rsid w:val="002210EE"/>
    <w:rsid w:val="00221500"/>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350"/>
    <w:rsid w:val="002247AB"/>
    <w:rsid w:val="00224DBA"/>
    <w:rsid w:val="0022541C"/>
    <w:rsid w:val="002259F3"/>
    <w:rsid w:val="0022669D"/>
    <w:rsid w:val="00226890"/>
    <w:rsid w:val="00226D15"/>
    <w:rsid w:val="002271CE"/>
    <w:rsid w:val="00227931"/>
    <w:rsid w:val="00227A68"/>
    <w:rsid w:val="00227C7A"/>
    <w:rsid w:val="00230A6E"/>
    <w:rsid w:val="00231A8D"/>
    <w:rsid w:val="00231C62"/>
    <w:rsid w:val="00231EFB"/>
    <w:rsid w:val="0023242A"/>
    <w:rsid w:val="002325E0"/>
    <w:rsid w:val="00232E1C"/>
    <w:rsid w:val="00232EBE"/>
    <w:rsid w:val="00233363"/>
    <w:rsid w:val="00233522"/>
    <w:rsid w:val="0023358F"/>
    <w:rsid w:val="002336C0"/>
    <w:rsid w:val="002337B8"/>
    <w:rsid w:val="002338A0"/>
    <w:rsid w:val="00233E24"/>
    <w:rsid w:val="00233E5D"/>
    <w:rsid w:val="002347B4"/>
    <w:rsid w:val="002349DD"/>
    <w:rsid w:val="00234F33"/>
    <w:rsid w:val="00234F72"/>
    <w:rsid w:val="002351FD"/>
    <w:rsid w:val="002357F2"/>
    <w:rsid w:val="0023596E"/>
    <w:rsid w:val="00235D8C"/>
    <w:rsid w:val="00235D9E"/>
    <w:rsid w:val="00235E50"/>
    <w:rsid w:val="00236BEF"/>
    <w:rsid w:val="00236CD9"/>
    <w:rsid w:val="00237706"/>
    <w:rsid w:val="00237A24"/>
    <w:rsid w:val="00237E40"/>
    <w:rsid w:val="00240397"/>
    <w:rsid w:val="00240596"/>
    <w:rsid w:val="002406D6"/>
    <w:rsid w:val="00240846"/>
    <w:rsid w:val="0024098D"/>
    <w:rsid w:val="00240E3B"/>
    <w:rsid w:val="0024163D"/>
    <w:rsid w:val="00241D23"/>
    <w:rsid w:val="00241F1A"/>
    <w:rsid w:val="002420E9"/>
    <w:rsid w:val="0024223B"/>
    <w:rsid w:val="00242738"/>
    <w:rsid w:val="00242931"/>
    <w:rsid w:val="00242D20"/>
    <w:rsid w:val="0024323C"/>
    <w:rsid w:val="00243684"/>
    <w:rsid w:val="00244258"/>
    <w:rsid w:val="0024468A"/>
    <w:rsid w:val="00244862"/>
    <w:rsid w:val="0024507E"/>
    <w:rsid w:val="002450CE"/>
    <w:rsid w:val="002452EC"/>
    <w:rsid w:val="00245978"/>
    <w:rsid w:val="00245F22"/>
    <w:rsid w:val="00246494"/>
    <w:rsid w:val="002465DF"/>
    <w:rsid w:val="00246841"/>
    <w:rsid w:val="00246AFD"/>
    <w:rsid w:val="002470CE"/>
    <w:rsid w:val="002475F4"/>
    <w:rsid w:val="002479A4"/>
    <w:rsid w:val="00250216"/>
    <w:rsid w:val="0025043C"/>
    <w:rsid w:val="002506C3"/>
    <w:rsid w:val="00250F94"/>
    <w:rsid w:val="002511C4"/>
    <w:rsid w:val="0025134E"/>
    <w:rsid w:val="002516AF"/>
    <w:rsid w:val="002521B4"/>
    <w:rsid w:val="00252227"/>
    <w:rsid w:val="002523A8"/>
    <w:rsid w:val="00252747"/>
    <w:rsid w:val="002528AF"/>
    <w:rsid w:val="00252B7D"/>
    <w:rsid w:val="00252BA3"/>
    <w:rsid w:val="002534E0"/>
    <w:rsid w:val="0025359D"/>
    <w:rsid w:val="00253B05"/>
    <w:rsid w:val="00253D18"/>
    <w:rsid w:val="0025461A"/>
    <w:rsid w:val="002546C6"/>
    <w:rsid w:val="00254C20"/>
    <w:rsid w:val="00255484"/>
    <w:rsid w:val="002555FF"/>
    <w:rsid w:val="00255C3A"/>
    <w:rsid w:val="002560DA"/>
    <w:rsid w:val="002564A4"/>
    <w:rsid w:val="00256FE0"/>
    <w:rsid w:val="0025704A"/>
    <w:rsid w:val="00257126"/>
    <w:rsid w:val="00257B86"/>
    <w:rsid w:val="00257BB1"/>
    <w:rsid w:val="00257D74"/>
    <w:rsid w:val="00260227"/>
    <w:rsid w:val="0026072E"/>
    <w:rsid w:val="002608DC"/>
    <w:rsid w:val="00260AA9"/>
    <w:rsid w:val="002619EC"/>
    <w:rsid w:val="00262564"/>
    <w:rsid w:val="002628D7"/>
    <w:rsid w:val="00262BBA"/>
    <w:rsid w:val="00262D10"/>
    <w:rsid w:val="00262FB2"/>
    <w:rsid w:val="002631D1"/>
    <w:rsid w:val="002633CA"/>
    <w:rsid w:val="002634CA"/>
    <w:rsid w:val="00263967"/>
    <w:rsid w:val="002639CF"/>
    <w:rsid w:val="00263F2C"/>
    <w:rsid w:val="00265016"/>
    <w:rsid w:val="00265159"/>
    <w:rsid w:val="0026517F"/>
    <w:rsid w:val="00265189"/>
    <w:rsid w:val="002655DA"/>
    <w:rsid w:val="00265B4D"/>
    <w:rsid w:val="00265E88"/>
    <w:rsid w:val="00266679"/>
    <w:rsid w:val="0026691F"/>
    <w:rsid w:val="00266F81"/>
    <w:rsid w:val="002672BD"/>
    <w:rsid w:val="002672E0"/>
    <w:rsid w:val="002678A7"/>
    <w:rsid w:val="00267ABB"/>
    <w:rsid w:val="00267B02"/>
    <w:rsid w:val="00270CBF"/>
    <w:rsid w:val="00270EC8"/>
    <w:rsid w:val="00270FB6"/>
    <w:rsid w:val="00271241"/>
    <w:rsid w:val="002712A7"/>
    <w:rsid w:val="002715B2"/>
    <w:rsid w:val="002716DF"/>
    <w:rsid w:val="002717E2"/>
    <w:rsid w:val="00271BE9"/>
    <w:rsid w:val="00271BFC"/>
    <w:rsid w:val="00271EC3"/>
    <w:rsid w:val="00272196"/>
    <w:rsid w:val="00272621"/>
    <w:rsid w:val="00272E64"/>
    <w:rsid w:val="00273354"/>
    <w:rsid w:val="0027374D"/>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77B3F"/>
    <w:rsid w:val="002804EF"/>
    <w:rsid w:val="00280B74"/>
    <w:rsid w:val="00280CFC"/>
    <w:rsid w:val="0028125D"/>
    <w:rsid w:val="0028133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19B"/>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5CB"/>
    <w:rsid w:val="00291AA5"/>
    <w:rsid w:val="0029236F"/>
    <w:rsid w:val="00292995"/>
    <w:rsid w:val="00292A1A"/>
    <w:rsid w:val="0029332E"/>
    <w:rsid w:val="002935FC"/>
    <w:rsid w:val="002935FE"/>
    <w:rsid w:val="00293933"/>
    <w:rsid w:val="0029404A"/>
    <w:rsid w:val="00294141"/>
    <w:rsid w:val="00294340"/>
    <w:rsid w:val="0029445E"/>
    <w:rsid w:val="002944A7"/>
    <w:rsid w:val="002944E7"/>
    <w:rsid w:val="00294B5C"/>
    <w:rsid w:val="00294C3C"/>
    <w:rsid w:val="00294DA1"/>
    <w:rsid w:val="00294DBD"/>
    <w:rsid w:val="00294EA2"/>
    <w:rsid w:val="00295356"/>
    <w:rsid w:val="0029561F"/>
    <w:rsid w:val="00295841"/>
    <w:rsid w:val="00295CE0"/>
    <w:rsid w:val="00296738"/>
    <w:rsid w:val="0029724A"/>
    <w:rsid w:val="002977AF"/>
    <w:rsid w:val="00297983"/>
    <w:rsid w:val="002979B4"/>
    <w:rsid w:val="00297C91"/>
    <w:rsid w:val="00297E6B"/>
    <w:rsid w:val="002A05A2"/>
    <w:rsid w:val="002A0A6E"/>
    <w:rsid w:val="002A1007"/>
    <w:rsid w:val="002A131C"/>
    <w:rsid w:val="002A166A"/>
    <w:rsid w:val="002A1EC3"/>
    <w:rsid w:val="002A497E"/>
    <w:rsid w:val="002A4B9F"/>
    <w:rsid w:val="002A4F4D"/>
    <w:rsid w:val="002A4FA1"/>
    <w:rsid w:val="002A531B"/>
    <w:rsid w:val="002A61CA"/>
    <w:rsid w:val="002A697C"/>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273"/>
    <w:rsid w:val="002B53AB"/>
    <w:rsid w:val="002B562F"/>
    <w:rsid w:val="002B5A4C"/>
    <w:rsid w:val="002B5EBD"/>
    <w:rsid w:val="002B702F"/>
    <w:rsid w:val="002B76C1"/>
    <w:rsid w:val="002B7718"/>
    <w:rsid w:val="002C00C4"/>
    <w:rsid w:val="002C049B"/>
    <w:rsid w:val="002C0576"/>
    <w:rsid w:val="002C087B"/>
    <w:rsid w:val="002C0C59"/>
    <w:rsid w:val="002C129A"/>
    <w:rsid w:val="002C1518"/>
    <w:rsid w:val="002C15CF"/>
    <w:rsid w:val="002C1EA7"/>
    <w:rsid w:val="002C2145"/>
    <w:rsid w:val="002C25BC"/>
    <w:rsid w:val="002C26CD"/>
    <w:rsid w:val="002C2A0D"/>
    <w:rsid w:val="002C3257"/>
    <w:rsid w:val="002C329A"/>
    <w:rsid w:val="002C334E"/>
    <w:rsid w:val="002C3C8E"/>
    <w:rsid w:val="002C3CA8"/>
    <w:rsid w:val="002C3FE5"/>
    <w:rsid w:val="002C438A"/>
    <w:rsid w:val="002C4399"/>
    <w:rsid w:val="002C461A"/>
    <w:rsid w:val="002C4898"/>
    <w:rsid w:val="002C4C1D"/>
    <w:rsid w:val="002C4C43"/>
    <w:rsid w:val="002C56C2"/>
    <w:rsid w:val="002C57C8"/>
    <w:rsid w:val="002C6D82"/>
    <w:rsid w:val="002C7108"/>
    <w:rsid w:val="002D0115"/>
    <w:rsid w:val="002D0CA9"/>
    <w:rsid w:val="002D0E9D"/>
    <w:rsid w:val="002D13AA"/>
    <w:rsid w:val="002D1CA3"/>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756C"/>
    <w:rsid w:val="002D7DFD"/>
    <w:rsid w:val="002E10C8"/>
    <w:rsid w:val="002E10E9"/>
    <w:rsid w:val="002E177C"/>
    <w:rsid w:val="002E1A29"/>
    <w:rsid w:val="002E1F67"/>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984"/>
    <w:rsid w:val="002E7AA7"/>
    <w:rsid w:val="002E7B63"/>
    <w:rsid w:val="002F026B"/>
    <w:rsid w:val="002F04E8"/>
    <w:rsid w:val="002F0B7D"/>
    <w:rsid w:val="002F0F7A"/>
    <w:rsid w:val="002F0F92"/>
    <w:rsid w:val="002F11BC"/>
    <w:rsid w:val="002F13E7"/>
    <w:rsid w:val="002F17C3"/>
    <w:rsid w:val="002F1AE5"/>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5F06"/>
    <w:rsid w:val="002F65F6"/>
    <w:rsid w:val="002F6635"/>
    <w:rsid w:val="002F69EE"/>
    <w:rsid w:val="002F6EA7"/>
    <w:rsid w:val="002F73D5"/>
    <w:rsid w:val="00300843"/>
    <w:rsid w:val="00300AFD"/>
    <w:rsid w:val="003014BD"/>
    <w:rsid w:val="0030157D"/>
    <w:rsid w:val="003019E2"/>
    <w:rsid w:val="00301EFE"/>
    <w:rsid w:val="00302108"/>
    <w:rsid w:val="003024DE"/>
    <w:rsid w:val="00302791"/>
    <w:rsid w:val="003027A0"/>
    <w:rsid w:val="003028AE"/>
    <w:rsid w:val="003028D4"/>
    <w:rsid w:val="00302C01"/>
    <w:rsid w:val="00302D5E"/>
    <w:rsid w:val="00302D61"/>
    <w:rsid w:val="00302F40"/>
    <w:rsid w:val="003034DC"/>
    <w:rsid w:val="00303720"/>
    <w:rsid w:val="00303F2B"/>
    <w:rsid w:val="0030428E"/>
    <w:rsid w:val="003043E6"/>
    <w:rsid w:val="00304A61"/>
    <w:rsid w:val="00304FB6"/>
    <w:rsid w:val="00305D8D"/>
    <w:rsid w:val="0030619A"/>
    <w:rsid w:val="003062CD"/>
    <w:rsid w:val="003063CF"/>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945"/>
    <w:rsid w:val="00311A55"/>
    <w:rsid w:val="003123D5"/>
    <w:rsid w:val="00312412"/>
    <w:rsid w:val="0031271E"/>
    <w:rsid w:val="00312B04"/>
    <w:rsid w:val="00312BF8"/>
    <w:rsid w:val="00312C94"/>
    <w:rsid w:val="00313320"/>
    <w:rsid w:val="0031354E"/>
    <w:rsid w:val="00313621"/>
    <w:rsid w:val="00313944"/>
    <w:rsid w:val="00313F5E"/>
    <w:rsid w:val="00314250"/>
    <w:rsid w:val="00314326"/>
    <w:rsid w:val="00314669"/>
    <w:rsid w:val="00314A8D"/>
    <w:rsid w:val="00314F8E"/>
    <w:rsid w:val="00315982"/>
    <w:rsid w:val="00315B98"/>
    <w:rsid w:val="00315C59"/>
    <w:rsid w:val="00315F34"/>
    <w:rsid w:val="00316095"/>
    <w:rsid w:val="00316502"/>
    <w:rsid w:val="0031686F"/>
    <w:rsid w:val="0031750D"/>
    <w:rsid w:val="003177CE"/>
    <w:rsid w:val="003178E0"/>
    <w:rsid w:val="00320553"/>
    <w:rsid w:val="00320794"/>
    <w:rsid w:val="00320915"/>
    <w:rsid w:val="00320AA6"/>
    <w:rsid w:val="00320DB1"/>
    <w:rsid w:val="0032103F"/>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0D"/>
    <w:rsid w:val="003270A1"/>
    <w:rsid w:val="0032768E"/>
    <w:rsid w:val="00327939"/>
    <w:rsid w:val="00327C5B"/>
    <w:rsid w:val="00327EA0"/>
    <w:rsid w:val="00327F92"/>
    <w:rsid w:val="00330127"/>
    <w:rsid w:val="00330277"/>
    <w:rsid w:val="0033039D"/>
    <w:rsid w:val="003306F4"/>
    <w:rsid w:val="003308EB"/>
    <w:rsid w:val="00330D13"/>
    <w:rsid w:val="003310AC"/>
    <w:rsid w:val="003319FE"/>
    <w:rsid w:val="00331C5C"/>
    <w:rsid w:val="0033211C"/>
    <w:rsid w:val="003328E6"/>
    <w:rsid w:val="00332C58"/>
    <w:rsid w:val="00332FAB"/>
    <w:rsid w:val="00333209"/>
    <w:rsid w:val="003336AF"/>
    <w:rsid w:val="00334C7F"/>
    <w:rsid w:val="003352A6"/>
    <w:rsid w:val="00335577"/>
    <w:rsid w:val="00335F53"/>
    <w:rsid w:val="0033682C"/>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45"/>
    <w:rsid w:val="003437D2"/>
    <w:rsid w:val="00343BF1"/>
    <w:rsid w:val="00343C2C"/>
    <w:rsid w:val="00343CA3"/>
    <w:rsid w:val="00343EE1"/>
    <w:rsid w:val="00343FFD"/>
    <w:rsid w:val="00344490"/>
    <w:rsid w:val="00344B7A"/>
    <w:rsid w:val="00345499"/>
    <w:rsid w:val="00345968"/>
    <w:rsid w:val="00345A21"/>
    <w:rsid w:val="00345C07"/>
    <w:rsid w:val="00345DAB"/>
    <w:rsid w:val="00345FAF"/>
    <w:rsid w:val="0034605D"/>
    <w:rsid w:val="003465A4"/>
    <w:rsid w:val="0034665D"/>
    <w:rsid w:val="00346C87"/>
    <w:rsid w:val="00346F43"/>
    <w:rsid w:val="00347356"/>
    <w:rsid w:val="00347C5F"/>
    <w:rsid w:val="00347CE1"/>
    <w:rsid w:val="0035068B"/>
    <w:rsid w:val="0035093F"/>
    <w:rsid w:val="003516D5"/>
    <w:rsid w:val="0035191B"/>
    <w:rsid w:val="0035201F"/>
    <w:rsid w:val="0035205C"/>
    <w:rsid w:val="00352144"/>
    <w:rsid w:val="00352361"/>
    <w:rsid w:val="00352625"/>
    <w:rsid w:val="00352995"/>
    <w:rsid w:val="00352FB1"/>
    <w:rsid w:val="00353295"/>
    <w:rsid w:val="003536C4"/>
    <w:rsid w:val="003537BD"/>
    <w:rsid w:val="003539D2"/>
    <w:rsid w:val="0035433F"/>
    <w:rsid w:val="003546E7"/>
    <w:rsid w:val="00354735"/>
    <w:rsid w:val="00354AE7"/>
    <w:rsid w:val="00354BA2"/>
    <w:rsid w:val="00354C6A"/>
    <w:rsid w:val="00354E9E"/>
    <w:rsid w:val="0035540E"/>
    <w:rsid w:val="003555E7"/>
    <w:rsid w:val="00355E0C"/>
    <w:rsid w:val="00355E87"/>
    <w:rsid w:val="00355FFA"/>
    <w:rsid w:val="00356653"/>
    <w:rsid w:val="003577A1"/>
    <w:rsid w:val="00357A88"/>
    <w:rsid w:val="003600F3"/>
    <w:rsid w:val="003602B7"/>
    <w:rsid w:val="00360453"/>
    <w:rsid w:val="00360B39"/>
    <w:rsid w:val="00360DCB"/>
    <w:rsid w:val="00360E40"/>
    <w:rsid w:val="0036174B"/>
    <w:rsid w:val="00361B1B"/>
    <w:rsid w:val="00361D05"/>
    <w:rsid w:val="00362415"/>
    <w:rsid w:val="00362427"/>
    <w:rsid w:val="003624E2"/>
    <w:rsid w:val="0036274B"/>
    <w:rsid w:val="00362895"/>
    <w:rsid w:val="00362B53"/>
    <w:rsid w:val="00362F03"/>
    <w:rsid w:val="00363011"/>
    <w:rsid w:val="00363087"/>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0A0"/>
    <w:rsid w:val="00370C94"/>
    <w:rsid w:val="003710E6"/>
    <w:rsid w:val="00371DFF"/>
    <w:rsid w:val="00371E28"/>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7301"/>
    <w:rsid w:val="00377484"/>
    <w:rsid w:val="00377A7A"/>
    <w:rsid w:val="00377C21"/>
    <w:rsid w:val="00377D7C"/>
    <w:rsid w:val="00380573"/>
    <w:rsid w:val="00381146"/>
    <w:rsid w:val="00381891"/>
    <w:rsid w:val="00381981"/>
    <w:rsid w:val="003819D4"/>
    <w:rsid w:val="00381AFB"/>
    <w:rsid w:val="00381FF7"/>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0D70"/>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44FD"/>
    <w:rsid w:val="003954D1"/>
    <w:rsid w:val="003955FA"/>
    <w:rsid w:val="00395923"/>
    <w:rsid w:val="00395C73"/>
    <w:rsid w:val="00395E11"/>
    <w:rsid w:val="003967EF"/>
    <w:rsid w:val="00396851"/>
    <w:rsid w:val="00396B1F"/>
    <w:rsid w:val="00396FCF"/>
    <w:rsid w:val="00397404"/>
    <w:rsid w:val="00397535"/>
    <w:rsid w:val="00397873"/>
    <w:rsid w:val="00397A45"/>
    <w:rsid w:val="00397FBF"/>
    <w:rsid w:val="00397FFC"/>
    <w:rsid w:val="003A001A"/>
    <w:rsid w:val="003A0325"/>
    <w:rsid w:val="003A0BAA"/>
    <w:rsid w:val="003A0C66"/>
    <w:rsid w:val="003A0E92"/>
    <w:rsid w:val="003A10B2"/>
    <w:rsid w:val="003A166B"/>
    <w:rsid w:val="003A274F"/>
    <w:rsid w:val="003A2E35"/>
    <w:rsid w:val="003A30D9"/>
    <w:rsid w:val="003A31E0"/>
    <w:rsid w:val="003A321D"/>
    <w:rsid w:val="003A410B"/>
    <w:rsid w:val="003A4657"/>
    <w:rsid w:val="003A4970"/>
    <w:rsid w:val="003A52D2"/>
    <w:rsid w:val="003A5C26"/>
    <w:rsid w:val="003A6613"/>
    <w:rsid w:val="003A6E60"/>
    <w:rsid w:val="003A77FE"/>
    <w:rsid w:val="003A77FF"/>
    <w:rsid w:val="003A7A33"/>
    <w:rsid w:val="003A7E6E"/>
    <w:rsid w:val="003B0222"/>
    <w:rsid w:val="003B038A"/>
    <w:rsid w:val="003B08D6"/>
    <w:rsid w:val="003B0931"/>
    <w:rsid w:val="003B0955"/>
    <w:rsid w:val="003B1019"/>
    <w:rsid w:val="003B178F"/>
    <w:rsid w:val="003B21FC"/>
    <w:rsid w:val="003B2991"/>
    <w:rsid w:val="003B3026"/>
    <w:rsid w:val="003B329B"/>
    <w:rsid w:val="003B36DC"/>
    <w:rsid w:val="003B3A65"/>
    <w:rsid w:val="003B3A69"/>
    <w:rsid w:val="003B3BD2"/>
    <w:rsid w:val="003B3C86"/>
    <w:rsid w:val="003B3E36"/>
    <w:rsid w:val="003B476F"/>
    <w:rsid w:val="003B5727"/>
    <w:rsid w:val="003B5BF8"/>
    <w:rsid w:val="003B61D3"/>
    <w:rsid w:val="003B639F"/>
    <w:rsid w:val="003B642E"/>
    <w:rsid w:val="003B665C"/>
    <w:rsid w:val="003B7030"/>
    <w:rsid w:val="003B715A"/>
    <w:rsid w:val="003B7372"/>
    <w:rsid w:val="003B7397"/>
    <w:rsid w:val="003B743C"/>
    <w:rsid w:val="003B763A"/>
    <w:rsid w:val="003B78FE"/>
    <w:rsid w:val="003B798F"/>
    <w:rsid w:val="003B7BF6"/>
    <w:rsid w:val="003C03A2"/>
    <w:rsid w:val="003C0889"/>
    <w:rsid w:val="003C090E"/>
    <w:rsid w:val="003C0CEF"/>
    <w:rsid w:val="003C1A13"/>
    <w:rsid w:val="003C1B9E"/>
    <w:rsid w:val="003C1C96"/>
    <w:rsid w:val="003C1DF7"/>
    <w:rsid w:val="003C22A8"/>
    <w:rsid w:val="003C25DC"/>
    <w:rsid w:val="003C263F"/>
    <w:rsid w:val="003C26C1"/>
    <w:rsid w:val="003C3BF6"/>
    <w:rsid w:val="003C3CE3"/>
    <w:rsid w:val="003C4063"/>
    <w:rsid w:val="003C43CF"/>
    <w:rsid w:val="003C44D4"/>
    <w:rsid w:val="003C4709"/>
    <w:rsid w:val="003C4E38"/>
    <w:rsid w:val="003C50A2"/>
    <w:rsid w:val="003C5971"/>
    <w:rsid w:val="003C5CD2"/>
    <w:rsid w:val="003C6855"/>
    <w:rsid w:val="003C6E28"/>
    <w:rsid w:val="003C72D7"/>
    <w:rsid w:val="003C743C"/>
    <w:rsid w:val="003C7500"/>
    <w:rsid w:val="003C775D"/>
    <w:rsid w:val="003C780E"/>
    <w:rsid w:val="003C788F"/>
    <w:rsid w:val="003C7CA2"/>
    <w:rsid w:val="003C7CE6"/>
    <w:rsid w:val="003C7ED6"/>
    <w:rsid w:val="003D00E9"/>
    <w:rsid w:val="003D081B"/>
    <w:rsid w:val="003D11E4"/>
    <w:rsid w:val="003D13D3"/>
    <w:rsid w:val="003D1D08"/>
    <w:rsid w:val="003D1F3C"/>
    <w:rsid w:val="003D25AD"/>
    <w:rsid w:val="003D2639"/>
    <w:rsid w:val="003D2739"/>
    <w:rsid w:val="003D27F8"/>
    <w:rsid w:val="003D3D92"/>
    <w:rsid w:val="003D4057"/>
    <w:rsid w:val="003D40E5"/>
    <w:rsid w:val="003D446A"/>
    <w:rsid w:val="003D4490"/>
    <w:rsid w:val="003D49D1"/>
    <w:rsid w:val="003D4E23"/>
    <w:rsid w:val="003D57E9"/>
    <w:rsid w:val="003D6258"/>
    <w:rsid w:val="003D6274"/>
    <w:rsid w:val="003D6634"/>
    <w:rsid w:val="003D68A0"/>
    <w:rsid w:val="003D73B3"/>
    <w:rsid w:val="003D769D"/>
    <w:rsid w:val="003D7A35"/>
    <w:rsid w:val="003D7AF4"/>
    <w:rsid w:val="003D7BEB"/>
    <w:rsid w:val="003D7CEE"/>
    <w:rsid w:val="003D7E06"/>
    <w:rsid w:val="003E044C"/>
    <w:rsid w:val="003E06BA"/>
    <w:rsid w:val="003E075A"/>
    <w:rsid w:val="003E081A"/>
    <w:rsid w:val="003E09DF"/>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CA7"/>
    <w:rsid w:val="003E5F0C"/>
    <w:rsid w:val="003E6AFC"/>
    <w:rsid w:val="003E6E49"/>
    <w:rsid w:val="003E7749"/>
    <w:rsid w:val="003F018F"/>
    <w:rsid w:val="003F06F3"/>
    <w:rsid w:val="003F07DF"/>
    <w:rsid w:val="003F0912"/>
    <w:rsid w:val="003F0963"/>
    <w:rsid w:val="003F1263"/>
    <w:rsid w:val="003F12A1"/>
    <w:rsid w:val="003F139B"/>
    <w:rsid w:val="003F1BE6"/>
    <w:rsid w:val="003F2149"/>
    <w:rsid w:val="003F230E"/>
    <w:rsid w:val="003F27EE"/>
    <w:rsid w:val="003F3305"/>
    <w:rsid w:val="003F3323"/>
    <w:rsid w:val="003F3AF7"/>
    <w:rsid w:val="003F48DA"/>
    <w:rsid w:val="003F4A31"/>
    <w:rsid w:val="003F5571"/>
    <w:rsid w:val="003F5DE5"/>
    <w:rsid w:val="003F67CC"/>
    <w:rsid w:val="003F6C6C"/>
    <w:rsid w:val="003F7359"/>
    <w:rsid w:val="003F799C"/>
    <w:rsid w:val="003F7ACA"/>
    <w:rsid w:val="003F7EA6"/>
    <w:rsid w:val="003F7F23"/>
    <w:rsid w:val="004004D2"/>
    <w:rsid w:val="00400D2A"/>
    <w:rsid w:val="00401083"/>
    <w:rsid w:val="00401527"/>
    <w:rsid w:val="0040218D"/>
    <w:rsid w:val="004025A2"/>
    <w:rsid w:val="00402774"/>
    <w:rsid w:val="004029F1"/>
    <w:rsid w:val="00402F23"/>
    <w:rsid w:val="00402F55"/>
    <w:rsid w:val="00403332"/>
    <w:rsid w:val="004034E9"/>
    <w:rsid w:val="00403527"/>
    <w:rsid w:val="00403662"/>
    <w:rsid w:val="004045CD"/>
    <w:rsid w:val="00404824"/>
    <w:rsid w:val="0040492B"/>
    <w:rsid w:val="00404AEA"/>
    <w:rsid w:val="00404E02"/>
    <w:rsid w:val="00405BED"/>
    <w:rsid w:val="00405D02"/>
    <w:rsid w:val="004062D0"/>
    <w:rsid w:val="0040635D"/>
    <w:rsid w:val="00406C39"/>
    <w:rsid w:val="004075EC"/>
    <w:rsid w:val="0040764B"/>
    <w:rsid w:val="004079AF"/>
    <w:rsid w:val="0041017A"/>
    <w:rsid w:val="00410784"/>
    <w:rsid w:val="0041092C"/>
    <w:rsid w:val="00410E01"/>
    <w:rsid w:val="0041105B"/>
    <w:rsid w:val="0041107B"/>
    <w:rsid w:val="004111E0"/>
    <w:rsid w:val="00411BD1"/>
    <w:rsid w:val="00411CA7"/>
    <w:rsid w:val="00412251"/>
    <w:rsid w:val="00412882"/>
    <w:rsid w:val="00412A05"/>
    <w:rsid w:val="00412BA3"/>
    <w:rsid w:val="00413042"/>
    <w:rsid w:val="0041319A"/>
    <w:rsid w:val="004132FF"/>
    <w:rsid w:val="00413766"/>
    <w:rsid w:val="0041389E"/>
    <w:rsid w:val="004139B0"/>
    <w:rsid w:val="004140DA"/>
    <w:rsid w:val="00414A5B"/>
    <w:rsid w:val="004152F2"/>
    <w:rsid w:val="00415514"/>
    <w:rsid w:val="00415A03"/>
    <w:rsid w:val="00416406"/>
    <w:rsid w:val="00416828"/>
    <w:rsid w:val="00416E29"/>
    <w:rsid w:val="00417145"/>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2F53"/>
    <w:rsid w:val="004230E3"/>
    <w:rsid w:val="00423290"/>
    <w:rsid w:val="004235EA"/>
    <w:rsid w:val="00424556"/>
    <w:rsid w:val="00424DEE"/>
    <w:rsid w:val="0042539B"/>
    <w:rsid w:val="004253EB"/>
    <w:rsid w:val="0042557B"/>
    <w:rsid w:val="00425732"/>
    <w:rsid w:val="00425859"/>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20A4"/>
    <w:rsid w:val="00432132"/>
    <w:rsid w:val="0043215B"/>
    <w:rsid w:val="00432D72"/>
    <w:rsid w:val="00433646"/>
    <w:rsid w:val="0043391E"/>
    <w:rsid w:val="00433B79"/>
    <w:rsid w:val="0043437C"/>
    <w:rsid w:val="00434549"/>
    <w:rsid w:val="00434B87"/>
    <w:rsid w:val="00435788"/>
    <w:rsid w:val="00435B7F"/>
    <w:rsid w:val="00436104"/>
    <w:rsid w:val="00436107"/>
    <w:rsid w:val="00436CE4"/>
    <w:rsid w:val="00437690"/>
    <w:rsid w:val="004377C4"/>
    <w:rsid w:val="00437BB1"/>
    <w:rsid w:val="00437BE1"/>
    <w:rsid w:val="00437C9F"/>
    <w:rsid w:val="00440452"/>
    <w:rsid w:val="00440733"/>
    <w:rsid w:val="004409B3"/>
    <w:rsid w:val="00440A66"/>
    <w:rsid w:val="00440BF4"/>
    <w:rsid w:val="00440F84"/>
    <w:rsid w:val="004410DB"/>
    <w:rsid w:val="004412A0"/>
    <w:rsid w:val="00441380"/>
    <w:rsid w:val="00443695"/>
    <w:rsid w:val="004438E6"/>
    <w:rsid w:val="00443BF5"/>
    <w:rsid w:val="00443F22"/>
    <w:rsid w:val="00444185"/>
    <w:rsid w:val="00444373"/>
    <w:rsid w:val="0044488B"/>
    <w:rsid w:val="004448BE"/>
    <w:rsid w:val="00444990"/>
    <w:rsid w:val="00444DA7"/>
    <w:rsid w:val="004451D1"/>
    <w:rsid w:val="00445901"/>
    <w:rsid w:val="00445F86"/>
    <w:rsid w:val="0044645E"/>
    <w:rsid w:val="00446892"/>
    <w:rsid w:val="00446AF7"/>
    <w:rsid w:val="00446B4F"/>
    <w:rsid w:val="00446F61"/>
    <w:rsid w:val="00446F86"/>
    <w:rsid w:val="004472F0"/>
    <w:rsid w:val="00447455"/>
    <w:rsid w:val="00447472"/>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FDA"/>
    <w:rsid w:val="0045421B"/>
    <w:rsid w:val="00454410"/>
    <w:rsid w:val="004544AB"/>
    <w:rsid w:val="004548BD"/>
    <w:rsid w:val="00454A25"/>
    <w:rsid w:val="00454E98"/>
    <w:rsid w:val="00454FC9"/>
    <w:rsid w:val="0045547A"/>
    <w:rsid w:val="00455508"/>
    <w:rsid w:val="0045560F"/>
    <w:rsid w:val="00455732"/>
    <w:rsid w:val="00455AE4"/>
    <w:rsid w:val="00455B5E"/>
    <w:rsid w:val="00455BF2"/>
    <w:rsid w:val="00455C5F"/>
    <w:rsid w:val="00455E6B"/>
    <w:rsid w:val="00455EB2"/>
    <w:rsid w:val="00455FD4"/>
    <w:rsid w:val="00456744"/>
    <w:rsid w:val="00456CF3"/>
    <w:rsid w:val="00456D8C"/>
    <w:rsid w:val="00457563"/>
    <w:rsid w:val="00457AF4"/>
    <w:rsid w:val="00457BFC"/>
    <w:rsid w:val="004601A3"/>
    <w:rsid w:val="004604A4"/>
    <w:rsid w:val="00462052"/>
    <w:rsid w:val="0046247D"/>
    <w:rsid w:val="004624C0"/>
    <w:rsid w:val="00462B8F"/>
    <w:rsid w:val="0046313C"/>
    <w:rsid w:val="00463429"/>
    <w:rsid w:val="00463DCF"/>
    <w:rsid w:val="00463E1A"/>
    <w:rsid w:val="00463F57"/>
    <w:rsid w:val="00464537"/>
    <w:rsid w:val="00464A44"/>
    <w:rsid w:val="00464BE4"/>
    <w:rsid w:val="00464D1B"/>
    <w:rsid w:val="00464F92"/>
    <w:rsid w:val="00465DCA"/>
    <w:rsid w:val="00466129"/>
    <w:rsid w:val="004661AD"/>
    <w:rsid w:val="00466231"/>
    <w:rsid w:val="00466316"/>
    <w:rsid w:val="0046632A"/>
    <w:rsid w:val="0046647B"/>
    <w:rsid w:val="00466724"/>
    <w:rsid w:val="004667E8"/>
    <w:rsid w:val="00467191"/>
    <w:rsid w:val="00467C77"/>
    <w:rsid w:val="00467D51"/>
    <w:rsid w:val="00470140"/>
    <w:rsid w:val="00470A3A"/>
    <w:rsid w:val="00470F43"/>
    <w:rsid w:val="00471D1B"/>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F70"/>
    <w:rsid w:val="00475F7E"/>
    <w:rsid w:val="004761DB"/>
    <w:rsid w:val="00476950"/>
    <w:rsid w:val="00476BF0"/>
    <w:rsid w:val="004771E3"/>
    <w:rsid w:val="004775FD"/>
    <w:rsid w:val="00477A96"/>
    <w:rsid w:val="00480664"/>
    <w:rsid w:val="004809FD"/>
    <w:rsid w:val="004810B5"/>
    <w:rsid w:val="00481C4D"/>
    <w:rsid w:val="00482437"/>
    <w:rsid w:val="0048265B"/>
    <w:rsid w:val="00482E6B"/>
    <w:rsid w:val="00483389"/>
    <w:rsid w:val="00483524"/>
    <w:rsid w:val="00483A4F"/>
    <w:rsid w:val="00483F59"/>
    <w:rsid w:val="0048462D"/>
    <w:rsid w:val="004848B7"/>
    <w:rsid w:val="00484BFC"/>
    <w:rsid w:val="00484CAB"/>
    <w:rsid w:val="00485462"/>
    <w:rsid w:val="00485D99"/>
    <w:rsid w:val="0048614B"/>
    <w:rsid w:val="004862A7"/>
    <w:rsid w:val="0048668C"/>
    <w:rsid w:val="004866E1"/>
    <w:rsid w:val="00486711"/>
    <w:rsid w:val="00486734"/>
    <w:rsid w:val="00486CA2"/>
    <w:rsid w:val="00486ED6"/>
    <w:rsid w:val="0048711A"/>
    <w:rsid w:val="0048754B"/>
    <w:rsid w:val="00487A5F"/>
    <w:rsid w:val="00487DE3"/>
    <w:rsid w:val="00490082"/>
    <w:rsid w:val="004902B1"/>
    <w:rsid w:val="004904DE"/>
    <w:rsid w:val="00490A8A"/>
    <w:rsid w:val="00490F0C"/>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4FC9"/>
    <w:rsid w:val="0049527E"/>
    <w:rsid w:val="0049555D"/>
    <w:rsid w:val="00495FBE"/>
    <w:rsid w:val="00496486"/>
    <w:rsid w:val="00496906"/>
    <w:rsid w:val="00496DD2"/>
    <w:rsid w:val="00497007"/>
    <w:rsid w:val="00497B24"/>
    <w:rsid w:val="00497F36"/>
    <w:rsid w:val="00497F56"/>
    <w:rsid w:val="00497FFA"/>
    <w:rsid w:val="004A022F"/>
    <w:rsid w:val="004A03F0"/>
    <w:rsid w:val="004A1076"/>
    <w:rsid w:val="004A111F"/>
    <w:rsid w:val="004A144E"/>
    <w:rsid w:val="004A14AA"/>
    <w:rsid w:val="004A2E50"/>
    <w:rsid w:val="004A3240"/>
    <w:rsid w:val="004A4743"/>
    <w:rsid w:val="004A489E"/>
    <w:rsid w:val="004A4AD5"/>
    <w:rsid w:val="004A4FFE"/>
    <w:rsid w:val="004A5050"/>
    <w:rsid w:val="004A5232"/>
    <w:rsid w:val="004A57A7"/>
    <w:rsid w:val="004A5C87"/>
    <w:rsid w:val="004A6370"/>
    <w:rsid w:val="004A68AE"/>
    <w:rsid w:val="004A6FBF"/>
    <w:rsid w:val="004A72E5"/>
    <w:rsid w:val="004A782A"/>
    <w:rsid w:val="004A7B83"/>
    <w:rsid w:val="004A7C16"/>
    <w:rsid w:val="004A7CB2"/>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8C1"/>
    <w:rsid w:val="004B2AE4"/>
    <w:rsid w:val="004B32A2"/>
    <w:rsid w:val="004B338C"/>
    <w:rsid w:val="004B33F5"/>
    <w:rsid w:val="004B3797"/>
    <w:rsid w:val="004B3C43"/>
    <w:rsid w:val="004B3D51"/>
    <w:rsid w:val="004B3DA5"/>
    <w:rsid w:val="004B3E7A"/>
    <w:rsid w:val="004B45B0"/>
    <w:rsid w:val="004B4759"/>
    <w:rsid w:val="004B4761"/>
    <w:rsid w:val="004B48C8"/>
    <w:rsid w:val="004B5393"/>
    <w:rsid w:val="004B578C"/>
    <w:rsid w:val="004B5FE4"/>
    <w:rsid w:val="004B6196"/>
    <w:rsid w:val="004B698A"/>
    <w:rsid w:val="004B69E5"/>
    <w:rsid w:val="004B75CF"/>
    <w:rsid w:val="004B7834"/>
    <w:rsid w:val="004B7FB8"/>
    <w:rsid w:val="004B7FD8"/>
    <w:rsid w:val="004C0207"/>
    <w:rsid w:val="004C03E0"/>
    <w:rsid w:val="004C0955"/>
    <w:rsid w:val="004C0AD4"/>
    <w:rsid w:val="004C0D21"/>
    <w:rsid w:val="004C10C8"/>
    <w:rsid w:val="004C12ED"/>
    <w:rsid w:val="004C1309"/>
    <w:rsid w:val="004C15C6"/>
    <w:rsid w:val="004C1754"/>
    <w:rsid w:val="004C2051"/>
    <w:rsid w:val="004C2786"/>
    <w:rsid w:val="004C2B8F"/>
    <w:rsid w:val="004C2BFB"/>
    <w:rsid w:val="004C2C4D"/>
    <w:rsid w:val="004C2E6E"/>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6673"/>
    <w:rsid w:val="004C74E0"/>
    <w:rsid w:val="004C74E6"/>
    <w:rsid w:val="004D0E12"/>
    <w:rsid w:val="004D13A2"/>
    <w:rsid w:val="004D18DE"/>
    <w:rsid w:val="004D2061"/>
    <w:rsid w:val="004D2758"/>
    <w:rsid w:val="004D29C4"/>
    <w:rsid w:val="004D2B8B"/>
    <w:rsid w:val="004D2F35"/>
    <w:rsid w:val="004D30DE"/>
    <w:rsid w:val="004D31FE"/>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4D8"/>
    <w:rsid w:val="004D6925"/>
    <w:rsid w:val="004D6D5F"/>
    <w:rsid w:val="004D72D7"/>
    <w:rsid w:val="004D7841"/>
    <w:rsid w:val="004D7ACC"/>
    <w:rsid w:val="004E00F7"/>
    <w:rsid w:val="004E07A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07F"/>
    <w:rsid w:val="004E48F2"/>
    <w:rsid w:val="004E49BC"/>
    <w:rsid w:val="004E4A52"/>
    <w:rsid w:val="004E4CEF"/>
    <w:rsid w:val="004E50B4"/>
    <w:rsid w:val="004E5433"/>
    <w:rsid w:val="004E543C"/>
    <w:rsid w:val="004E54BB"/>
    <w:rsid w:val="004E54E4"/>
    <w:rsid w:val="004E58C2"/>
    <w:rsid w:val="004E5DD6"/>
    <w:rsid w:val="004E65AE"/>
    <w:rsid w:val="004E666B"/>
    <w:rsid w:val="004E69FC"/>
    <w:rsid w:val="004E6AF3"/>
    <w:rsid w:val="004E6E32"/>
    <w:rsid w:val="004E7219"/>
    <w:rsid w:val="004E7682"/>
    <w:rsid w:val="004E7CDC"/>
    <w:rsid w:val="004E7D2E"/>
    <w:rsid w:val="004F03F8"/>
    <w:rsid w:val="004F053F"/>
    <w:rsid w:val="004F0DB3"/>
    <w:rsid w:val="004F0FAE"/>
    <w:rsid w:val="004F12B7"/>
    <w:rsid w:val="004F1B2E"/>
    <w:rsid w:val="004F2AA7"/>
    <w:rsid w:val="004F3CB3"/>
    <w:rsid w:val="004F3FF4"/>
    <w:rsid w:val="004F4637"/>
    <w:rsid w:val="004F49A4"/>
    <w:rsid w:val="004F4AB3"/>
    <w:rsid w:val="004F5B8B"/>
    <w:rsid w:val="004F656F"/>
    <w:rsid w:val="004F6B7B"/>
    <w:rsid w:val="004F6F8D"/>
    <w:rsid w:val="004F7312"/>
    <w:rsid w:val="004F7454"/>
    <w:rsid w:val="004F783F"/>
    <w:rsid w:val="004F7917"/>
    <w:rsid w:val="005004D9"/>
    <w:rsid w:val="005004E7"/>
    <w:rsid w:val="005013D9"/>
    <w:rsid w:val="005017CA"/>
    <w:rsid w:val="00501BF6"/>
    <w:rsid w:val="00501E76"/>
    <w:rsid w:val="00502140"/>
    <w:rsid w:val="00502F09"/>
    <w:rsid w:val="005030D5"/>
    <w:rsid w:val="005030DD"/>
    <w:rsid w:val="0050380D"/>
    <w:rsid w:val="005038A8"/>
    <w:rsid w:val="00503921"/>
    <w:rsid w:val="00503DF0"/>
    <w:rsid w:val="00504566"/>
    <w:rsid w:val="005047BC"/>
    <w:rsid w:val="00504BFB"/>
    <w:rsid w:val="005054A4"/>
    <w:rsid w:val="005056F5"/>
    <w:rsid w:val="00505815"/>
    <w:rsid w:val="00505AA4"/>
    <w:rsid w:val="00505C8C"/>
    <w:rsid w:val="005065D7"/>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AC0"/>
    <w:rsid w:val="00511B07"/>
    <w:rsid w:val="00511B1A"/>
    <w:rsid w:val="00511FD7"/>
    <w:rsid w:val="00512A3D"/>
    <w:rsid w:val="00512B26"/>
    <w:rsid w:val="00512C3B"/>
    <w:rsid w:val="005131A4"/>
    <w:rsid w:val="00513750"/>
    <w:rsid w:val="00513FE7"/>
    <w:rsid w:val="00514031"/>
    <w:rsid w:val="0051455C"/>
    <w:rsid w:val="00514D5E"/>
    <w:rsid w:val="00514F44"/>
    <w:rsid w:val="00515614"/>
    <w:rsid w:val="00515EDB"/>
    <w:rsid w:val="00516103"/>
    <w:rsid w:val="005162BC"/>
    <w:rsid w:val="00516B2B"/>
    <w:rsid w:val="00516FBB"/>
    <w:rsid w:val="005173CB"/>
    <w:rsid w:val="00517BC5"/>
    <w:rsid w:val="0052097A"/>
    <w:rsid w:val="00521363"/>
    <w:rsid w:val="00521AEA"/>
    <w:rsid w:val="00522B90"/>
    <w:rsid w:val="00523067"/>
    <w:rsid w:val="0052331E"/>
    <w:rsid w:val="005233B2"/>
    <w:rsid w:val="005234AB"/>
    <w:rsid w:val="00523732"/>
    <w:rsid w:val="0052394A"/>
    <w:rsid w:val="005239AE"/>
    <w:rsid w:val="00523A80"/>
    <w:rsid w:val="00523B2B"/>
    <w:rsid w:val="00523BA0"/>
    <w:rsid w:val="005240F9"/>
    <w:rsid w:val="005244AC"/>
    <w:rsid w:val="005247AB"/>
    <w:rsid w:val="00524857"/>
    <w:rsid w:val="00524C7C"/>
    <w:rsid w:val="00524CB1"/>
    <w:rsid w:val="00524E60"/>
    <w:rsid w:val="00524EFC"/>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745"/>
    <w:rsid w:val="005307E7"/>
    <w:rsid w:val="00530A52"/>
    <w:rsid w:val="00530B42"/>
    <w:rsid w:val="00530E7B"/>
    <w:rsid w:val="005310D9"/>
    <w:rsid w:val="00531F51"/>
    <w:rsid w:val="005324FF"/>
    <w:rsid w:val="00532A8B"/>
    <w:rsid w:val="0053385C"/>
    <w:rsid w:val="005338BA"/>
    <w:rsid w:val="00533EEC"/>
    <w:rsid w:val="005349EB"/>
    <w:rsid w:val="00535762"/>
    <w:rsid w:val="00536176"/>
    <w:rsid w:val="005362D0"/>
    <w:rsid w:val="00536C1F"/>
    <w:rsid w:val="00537AD9"/>
    <w:rsid w:val="00537DBA"/>
    <w:rsid w:val="0054001E"/>
    <w:rsid w:val="005401F9"/>
    <w:rsid w:val="005402F6"/>
    <w:rsid w:val="00540759"/>
    <w:rsid w:val="00541103"/>
    <w:rsid w:val="0054173C"/>
    <w:rsid w:val="00542013"/>
    <w:rsid w:val="00542091"/>
    <w:rsid w:val="005422B9"/>
    <w:rsid w:val="00542A4E"/>
    <w:rsid w:val="00542FFA"/>
    <w:rsid w:val="00542FFC"/>
    <w:rsid w:val="005437B9"/>
    <w:rsid w:val="00543C3A"/>
    <w:rsid w:val="00543F7E"/>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046"/>
    <w:rsid w:val="00550A72"/>
    <w:rsid w:val="00550C4E"/>
    <w:rsid w:val="005516B7"/>
    <w:rsid w:val="0055210B"/>
    <w:rsid w:val="005522A2"/>
    <w:rsid w:val="0055255B"/>
    <w:rsid w:val="005526C7"/>
    <w:rsid w:val="00552A44"/>
    <w:rsid w:val="00552ABF"/>
    <w:rsid w:val="00553094"/>
    <w:rsid w:val="005531D1"/>
    <w:rsid w:val="00553497"/>
    <w:rsid w:val="005534B3"/>
    <w:rsid w:val="00553765"/>
    <w:rsid w:val="00553FF2"/>
    <w:rsid w:val="005550EB"/>
    <w:rsid w:val="005554BD"/>
    <w:rsid w:val="005559D5"/>
    <w:rsid w:val="00555BAE"/>
    <w:rsid w:val="00555CC4"/>
    <w:rsid w:val="00555F21"/>
    <w:rsid w:val="0055604D"/>
    <w:rsid w:val="00556991"/>
    <w:rsid w:val="0055766F"/>
    <w:rsid w:val="00557C26"/>
    <w:rsid w:val="00560268"/>
    <w:rsid w:val="005603C6"/>
    <w:rsid w:val="0056043F"/>
    <w:rsid w:val="00560AF3"/>
    <w:rsid w:val="005613A0"/>
    <w:rsid w:val="00561737"/>
    <w:rsid w:val="00561C7E"/>
    <w:rsid w:val="00562969"/>
    <w:rsid w:val="00562AD4"/>
    <w:rsid w:val="00563135"/>
    <w:rsid w:val="00564352"/>
    <w:rsid w:val="00564A4B"/>
    <w:rsid w:val="00564BD6"/>
    <w:rsid w:val="00564C34"/>
    <w:rsid w:val="00565024"/>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2CF4"/>
    <w:rsid w:val="00573118"/>
    <w:rsid w:val="00573287"/>
    <w:rsid w:val="005733FE"/>
    <w:rsid w:val="00573B47"/>
    <w:rsid w:val="00573E22"/>
    <w:rsid w:val="0057404C"/>
    <w:rsid w:val="005744F6"/>
    <w:rsid w:val="00574FCF"/>
    <w:rsid w:val="00575454"/>
    <w:rsid w:val="005755EF"/>
    <w:rsid w:val="00575889"/>
    <w:rsid w:val="00575A19"/>
    <w:rsid w:val="00575CD7"/>
    <w:rsid w:val="00575E1D"/>
    <w:rsid w:val="00576299"/>
    <w:rsid w:val="00576878"/>
    <w:rsid w:val="00576DF1"/>
    <w:rsid w:val="0057797B"/>
    <w:rsid w:val="00577A67"/>
    <w:rsid w:val="00577BA6"/>
    <w:rsid w:val="00580A09"/>
    <w:rsid w:val="00580ECD"/>
    <w:rsid w:val="00581AB6"/>
    <w:rsid w:val="00581E96"/>
    <w:rsid w:val="00581FB3"/>
    <w:rsid w:val="00582563"/>
    <w:rsid w:val="005827EB"/>
    <w:rsid w:val="00582F40"/>
    <w:rsid w:val="005836CA"/>
    <w:rsid w:val="005839B5"/>
    <w:rsid w:val="00583C9B"/>
    <w:rsid w:val="00583D84"/>
    <w:rsid w:val="00584690"/>
    <w:rsid w:val="005848B3"/>
    <w:rsid w:val="00584B7A"/>
    <w:rsid w:val="0058501F"/>
    <w:rsid w:val="00585134"/>
    <w:rsid w:val="00585D44"/>
    <w:rsid w:val="00585E2D"/>
    <w:rsid w:val="005862FC"/>
    <w:rsid w:val="00586E33"/>
    <w:rsid w:val="0058703C"/>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43E"/>
    <w:rsid w:val="00594A88"/>
    <w:rsid w:val="00594B7B"/>
    <w:rsid w:val="00594BCD"/>
    <w:rsid w:val="00594BEF"/>
    <w:rsid w:val="00595240"/>
    <w:rsid w:val="0059532D"/>
    <w:rsid w:val="005959C6"/>
    <w:rsid w:val="00595E45"/>
    <w:rsid w:val="00596399"/>
    <w:rsid w:val="0059640C"/>
    <w:rsid w:val="00596B35"/>
    <w:rsid w:val="00597285"/>
    <w:rsid w:val="00597A87"/>
    <w:rsid w:val="00597A9B"/>
    <w:rsid w:val="00597AAF"/>
    <w:rsid w:val="005A01F2"/>
    <w:rsid w:val="005A0210"/>
    <w:rsid w:val="005A048E"/>
    <w:rsid w:val="005A0691"/>
    <w:rsid w:val="005A0807"/>
    <w:rsid w:val="005A0D10"/>
    <w:rsid w:val="005A0E5D"/>
    <w:rsid w:val="005A0E7B"/>
    <w:rsid w:val="005A10F2"/>
    <w:rsid w:val="005A1165"/>
    <w:rsid w:val="005A14E2"/>
    <w:rsid w:val="005A15F1"/>
    <w:rsid w:val="005A1699"/>
    <w:rsid w:val="005A1884"/>
    <w:rsid w:val="005A1AE7"/>
    <w:rsid w:val="005A1DFD"/>
    <w:rsid w:val="005A2983"/>
    <w:rsid w:val="005A29FB"/>
    <w:rsid w:val="005A2A96"/>
    <w:rsid w:val="005A2D73"/>
    <w:rsid w:val="005A330D"/>
    <w:rsid w:val="005A363D"/>
    <w:rsid w:val="005A3B05"/>
    <w:rsid w:val="005A40AA"/>
    <w:rsid w:val="005A4664"/>
    <w:rsid w:val="005A4C4E"/>
    <w:rsid w:val="005A513D"/>
    <w:rsid w:val="005A5204"/>
    <w:rsid w:val="005A57BC"/>
    <w:rsid w:val="005A5BA5"/>
    <w:rsid w:val="005A5E63"/>
    <w:rsid w:val="005A5FD4"/>
    <w:rsid w:val="005A7292"/>
    <w:rsid w:val="005A7478"/>
    <w:rsid w:val="005A790B"/>
    <w:rsid w:val="005A7D5B"/>
    <w:rsid w:val="005B07F5"/>
    <w:rsid w:val="005B0D26"/>
    <w:rsid w:val="005B1306"/>
    <w:rsid w:val="005B15E6"/>
    <w:rsid w:val="005B1CC5"/>
    <w:rsid w:val="005B1EB9"/>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6E9F"/>
    <w:rsid w:val="005B72B2"/>
    <w:rsid w:val="005B756D"/>
    <w:rsid w:val="005B7678"/>
    <w:rsid w:val="005B78D6"/>
    <w:rsid w:val="005B7DCC"/>
    <w:rsid w:val="005B7FBA"/>
    <w:rsid w:val="005C0493"/>
    <w:rsid w:val="005C05AE"/>
    <w:rsid w:val="005C1268"/>
    <w:rsid w:val="005C1427"/>
    <w:rsid w:val="005C1567"/>
    <w:rsid w:val="005C166D"/>
    <w:rsid w:val="005C182F"/>
    <w:rsid w:val="005C1D0E"/>
    <w:rsid w:val="005C1E75"/>
    <w:rsid w:val="005C2A11"/>
    <w:rsid w:val="005C30E9"/>
    <w:rsid w:val="005C372E"/>
    <w:rsid w:val="005C3B8C"/>
    <w:rsid w:val="005C3E34"/>
    <w:rsid w:val="005C4259"/>
    <w:rsid w:val="005C43BB"/>
    <w:rsid w:val="005C4E06"/>
    <w:rsid w:val="005C533A"/>
    <w:rsid w:val="005C5684"/>
    <w:rsid w:val="005C5C16"/>
    <w:rsid w:val="005C5CE1"/>
    <w:rsid w:val="005C5F39"/>
    <w:rsid w:val="005C62FF"/>
    <w:rsid w:val="005C641B"/>
    <w:rsid w:val="005C65BA"/>
    <w:rsid w:val="005C68DE"/>
    <w:rsid w:val="005C69DF"/>
    <w:rsid w:val="005C6A8A"/>
    <w:rsid w:val="005C6CF9"/>
    <w:rsid w:val="005C718E"/>
    <w:rsid w:val="005C7B7C"/>
    <w:rsid w:val="005C7C4F"/>
    <w:rsid w:val="005C7CA4"/>
    <w:rsid w:val="005D0A64"/>
    <w:rsid w:val="005D0B0A"/>
    <w:rsid w:val="005D0BAF"/>
    <w:rsid w:val="005D0BE6"/>
    <w:rsid w:val="005D1198"/>
    <w:rsid w:val="005D12FC"/>
    <w:rsid w:val="005D1876"/>
    <w:rsid w:val="005D18C7"/>
    <w:rsid w:val="005D19C9"/>
    <w:rsid w:val="005D237D"/>
    <w:rsid w:val="005D308D"/>
    <w:rsid w:val="005D35BE"/>
    <w:rsid w:val="005D38E6"/>
    <w:rsid w:val="005D40DC"/>
    <w:rsid w:val="005D46D3"/>
    <w:rsid w:val="005D5154"/>
    <w:rsid w:val="005D5353"/>
    <w:rsid w:val="005D5477"/>
    <w:rsid w:val="005D5BAC"/>
    <w:rsid w:val="005D5C72"/>
    <w:rsid w:val="005D5DBD"/>
    <w:rsid w:val="005D5E98"/>
    <w:rsid w:val="005D5F0B"/>
    <w:rsid w:val="005D6BE2"/>
    <w:rsid w:val="005D6D1C"/>
    <w:rsid w:val="005D6DDA"/>
    <w:rsid w:val="005D72A7"/>
    <w:rsid w:val="005E05E5"/>
    <w:rsid w:val="005E065C"/>
    <w:rsid w:val="005E0A23"/>
    <w:rsid w:val="005E0C53"/>
    <w:rsid w:val="005E118B"/>
    <w:rsid w:val="005E1721"/>
    <w:rsid w:val="005E1FD9"/>
    <w:rsid w:val="005E2060"/>
    <w:rsid w:val="005E245A"/>
    <w:rsid w:val="005E25A5"/>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850"/>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0FC"/>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115"/>
    <w:rsid w:val="0061414B"/>
    <w:rsid w:val="00614272"/>
    <w:rsid w:val="00614306"/>
    <w:rsid w:val="0061451E"/>
    <w:rsid w:val="006148DB"/>
    <w:rsid w:val="00614D15"/>
    <w:rsid w:val="0061565F"/>
    <w:rsid w:val="006157E3"/>
    <w:rsid w:val="0061590B"/>
    <w:rsid w:val="00615A65"/>
    <w:rsid w:val="0061606D"/>
    <w:rsid w:val="0061630A"/>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A7A"/>
    <w:rsid w:val="00623FD1"/>
    <w:rsid w:val="00623FD3"/>
    <w:rsid w:val="00623FEB"/>
    <w:rsid w:val="00624223"/>
    <w:rsid w:val="00624674"/>
    <w:rsid w:val="00624A5B"/>
    <w:rsid w:val="00624B08"/>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343E"/>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703"/>
    <w:rsid w:val="00641036"/>
    <w:rsid w:val="006410D4"/>
    <w:rsid w:val="00641101"/>
    <w:rsid w:val="00641359"/>
    <w:rsid w:val="00641365"/>
    <w:rsid w:val="00641370"/>
    <w:rsid w:val="0064157F"/>
    <w:rsid w:val="00642172"/>
    <w:rsid w:val="00642400"/>
    <w:rsid w:val="0064255E"/>
    <w:rsid w:val="006426C8"/>
    <w:rsid w:val="00642AAF"/>
    <w:rsid w:val="006433C5"/>
    <w:rsid w:val="00643CF6"/>
    <w:rsid w:val="00643D2E"/>
    <w:rsid w:val="00643DE1"/>
    <w:rsid w:val="00643DE6"/>
    <w:rsid w:val="00644415"/>
    <w:rsid w:val="006444B8"/>
    <w:rsid w:val="00644A55"/>
    <w:rsid w:val="006453F7"/>
    <w:rsid w:val="00645C58"/>
    <w:rsid w:val="006463A6"/>
    <w:rsid w:val="006469C9"/>
    <w:rsid w:val="006470AB"/>
    <w:rsid w:val="00647147"/>
    <w:rsid w:val="0064739A"/>
    <w:rsid w:val="00647D51"/>
    <w:rsid w:val="006500F6"/>
    <w:rsid w:val="00650436"/>
    <w:rsid w:val="006505E8"/>
    <w:rsid w:val="00650729"/>
    <w:rsid w:val="00650871"/>
    <w:rsid w:val="00650AD4"/>
    <w:rsid w:val="006510BF"/>
    <w:rsid w:val="006510D1"/>
    <w:rsid w:val="00651176"/>
    <w:rsid w:val="0065143B"/>
    <w:rsid w:val="006515DC"/>
    <w:rsid w:val="00651649"/>
    <w:rsid w:val="006518AC"/>
    <w:rsid w:val="00651D5E"/>
    <w:rsid w:val="006524FA"/>
    <w:rsid w:val="00652785"/>
    <w:rsid w:val="006529D3"/>
    <w:rsid w:val="00652B24"/>
    <w:rsid w:val="00652B8B"/>
    <w:rsid w:val="00652F1C"/>
    <w:rsid w:val="00652F4B"/>
    <w:rsid w:val="00652FA5"/>
    <w:rsid w:val="006531FB"/>
    <w:rsid w:val="00653BBB"/>
    <w:rsid w:val="00653E08"/>
    <w:rsid w:val="00653F64"/>
    <w:rsid w:val="006541A2"/>
    <w:rsid w:val="0065484F"/>
    <w:rsid w:val="00654FCF"/>
    <w:rsid w:val="006551C2"/>
    <w:rsid w:val="00655236"/>
    <w:rsid w:val="006553C9"/>
    <w:rsid w:val="006556B5"/>
    <w:rsid w:val="00655ABE"/>
    <w:rsid w:val="00655DB3"/>
    <w:rsid w:val="0065621A"/>
    <w:rsid w:val="00656229"/>
    <w:rsid w:val="0065639B"/>
    <w:rsid w:val="00656AFC"/>
    <w:rsid w:val="0065780D"/>
    <w:rsid w:val="00657EA9"/>
    <w:rsid w:val="0066003A"/>
    <w:rsid w:val="00660235"/>
    <w:rsid w:val="00660486"/>
    <w:rsid w:val="00660638"/>
    <w:rsid w:val="0066085A"/>
    <w:rsid w:val="00660984"/>
    <w:rsid w:val="00660B6E"/>
    <w:rsid w:val="00660BA0"/>
    <w:rsid w:val="00660F9F"/>
    <w:rsid w:val="006610DD"/>
    <w:rsid w:val="006610FD"/>
    <w:rsid w:val="00661116"/>
    <w:rsid w:val="00661382"/>
    <w:rsid w:val="00661757"/>
    <w:rsid w:val="00661E41"/>
    <w:rsid w:val="00661E8B"/>
    <w:rsid w:val="006621DB"/>
    <w:rsid w:val="00662413"/>
    <w:rsid w:val="006624FE"/>
    <w:rsid w:val="006626D8"/>
    <w:rsid w:val="00662956"/>
    <w:rsid w:val="00662DB1"/>
    <w:rsid w:val="00663060"/>
    <w:rsid w:val="00663F4C"/>
    <w:rsid w:val="006640D6"/>
    <w:rsid w:val="00664290"/>
    <w:rsid w:val="0066433F"/>
    <w:rsid w:val="00664568"/>
    <w:rsid w:val="00664ECC"/>
    <w:rsid w:val="00664FA3"/>
    <w:rsid w:val="00665EF8"/>
    <w:rsid w:val="006669DD"/>
    <w:rsid w:val="00666AA0"/>
    <w:rsid w:val="00666D62"/>
    <w:rsid w:val="00667241"/>
    <w:rsid w:val="0066737A"/>
    <w:rsid w:val="006674F2"/>
    <w:rsid w:val="00667ABD"/>
    <w:rsid w:val="00667B38"/>
    <w:rsid w:val="00667D9D"/>
    <w:rsid w:val="00667F55"/>
    <w:rsid w:val="00670025"/>
    <w:rsid w:val="00670308"/>
    <w:rsid w:val="00670771"/>
    <w:rsid w:val="00670BFE"/>
    <w:rsid w:val="00670EAE"/>
    <w:rsid w:val="006711F7"/>
    <w:rsid w:val="00671FF8"/>
    <w:rsid w:val="00672D19"/>
    <w:rsid w:val="00673061"/>
    <w:rsid w:val="006730F8"/>
    <w:rsid w:val="00673104"/>
    <w:rsid w:val="0067328E"/>
    <w:rsid w:val="006733CC"/>
    <w:rsid w:val="006733D2"/>
    <w:rsid w:val="006739F8"/>
    <w:rsid w:val="00674286"/>
    <w:rsid w:val="006742E0"/>
    <w:rsid w:val="00674B02"/>
    <w:rsid w:val="00675650"/>
    <w:rsid w:val="00675E41"/>
    <w:rsid w:val="00676562"/>
    <w:rsid w:val="006772B9"/>
    <w:rsid w:val="00677552"/>
    <w:rsid w:val="00677A00"/>
    <w:rsid w:val="00677A92"/>
    <w:rsid w:val="00677BBD"/>
    <w:rsid w:val="006804B6"/>
    <w:rsid w:val="006806E1"/>
    <w:rsid w:val="00680ECE"/>
    <w:rsid w:val="00681022"/>
    <w:rsid w:val="00681418"/>
    <w:rsid w:val="00681787"/>
    <w:rsid w:val="00681EFF"/>
    <w:rsid w:val="00681FDC"/>
    <w:rsid w:val="00682379"/>
    <w:rsid w:val="006823CB"/>
    <w:rsid w:val="0068277C"/>
    <w:rsid w:val="0068315B"/>
    <w:rsid w:val="00683AFE"/>
    <w:rsid w:val="0068459B"/>
    <w:rsid w:val="00684AA6"/>
    <w:rsid w:val="00685230"/>
    <w:rsid w:val="00685579"/>
    <w:rsid w:val="00686142"/>
    <w:rsid w:val="0068673B"/>
    <w:rsid w:val="006867D4"/>
    <w:rsid w:val="00686A77"/>
    <w:rsid w:val="00686ABA"/>
    <w:rsid w:val="00686E60"/>
    <w:rsid w:val="0068758F"/>
    <w:rsid w:val="00687C45"/>
    <w:rsid w:val="00687F0E"/>
    <w:rsid w:val="00690572"/>
    <w:rsid w:val="00690B4E"/>
    <w:rsid w:val="00691604"/>
    <w:rsid w:val="0069175D"/>
    <w:rsid w:val="006919C6"/>
    <w:rsid w:val="00691AE3"/>
    <w:rsid w:val="00691C7A"/>
    <w:rsid w:val="00691EA4"/>
    <w:rsid w:val="00692815"/>
    <w:rsid w:val="006928E4"/>
    <w:rsid w:val="00692B34"/>
    <w:rsid w:val="00692B55"/>
    <w:rsid w:val="006938EE"/>
    <w:rsid w:val="006944AF"/>
    <w:rsid w:val="006946EC"/>
    <w:rsid w:val="00694A4D"/>
    <w:rsid w:val="00695517"/>
    <w:rsid w:val="0069561E"/>
    <w:rsid w:val="00695BA6"/>
    <w:rsid w:val="006962D6"/>
    <w:rsid w:val="00696B8E"/>
    <w:rsid w:val="00696EE3"/>
    <w:rsid w:val="00696F13"/>
    <w:rsid w:val="0069714C"/>
    <w:rsid w:val="00697301"/>
    <w:rsid w:val="0069767A"/>
    <w:rsid w:val="00697817"/>
    <w:rsid w:val="00697CAD"/>
    <w:rsid w:val="006A0136"/>
    <w:rsid w:val="006A01B6"/>
    <w:rsid w:val="006A0759"/>
    <w:rsid w:val="006A0F57"/>
    <w:rsid w:val="006A1094"/>
    <w:rsid w:val="006A114B"/>
    <w:rsid w:val="006A1467"/>
    <w:rsid w:val="006A14DF"/>
    <w:rsid w:val="006A171E"/>
    <w:rsid w:val="006A1DE2"/>
    <w:rsid w:val="006A2A71"/>
    <w:rsid w:val="006A3080"/>
    <w:rsid w:val="006A3210"/>
    <w:rsid w:val="006A3495"/>
    <w:rsid w:val="006A35F0"/>
    <w:rsid w:val="006A3C3A"/>
    <w:rsid w:val="006A3C41"/>
    <w:rsid w:val="006A3F7D"/>
    <w:rsid w:val="006A411F"/>
    <w:rsid w:val="006A4166"/>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61AF"/>
    <w:rsid w:val="006B6CBA"/>
    <w:rsid w:val="006B7387"/>
    <w:rsid w:val="006B787F"/>
    <w:rsid w:val="006B7D96"/>
    <w:rsid w:val="006C008E"/>
    <w:rsid w:val="006C00A1"/>
    <w:rsid w:val="006C0204"/>
    <w:rsid w:val="006C05AE"/>
    <w:rsid w:val="006C0831"/>
    <w:rsid w:val="006C09AD"/>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B68"/>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783D"/>
    <w:rsid w:val="006C796A"/>
    <w:rsid w:val="006C79E4"/>
    <w:rsid w:val="006C7C00"/>
    <w:rsid w:val="006C7C27"/>
    <w:rsid w:val="006C7CCD"/>
    <w:rsid w:val="006D01DC"/>
    <w:rsid w:val="006D0306"/>
    <w:rsid w:val="006D03AD"/>
    <w:rsid w:val="006D0518"/>
    <w:rsid w:val="006D062A"/>
    <w:rsid w:val="006D088B"/>
    <w:rsid w:val="006D09A6"/>
    <w:rsid w:val="006D12EE"/>
    <w:rsid w:val="006D178C"/>
    <w:rsid w:val="006D1B10"/>
    <w:rsid w:val="006D1E58"/>
    <w:rsid w:val="006D28B4"/>
    <w:rsid w:val="006D2A64"/>
    <w:rsid w:val="006D2C7B"/>
    <w:rsid w:val="006D2DA6"/>
    <w:rsid w:val="006D2EFC"/>
    <w:rsid w:val="006D30F1"/>
    <w:rsid w:val="006D3858"/>
    <w:rsid w:val="006D3A9C"/>
    <w:rsid w:val="006D3C6F"/>
    <w:rsid w:val="006D45A3"/>
    <w:rsid w:val="006D499D"/>
    <w:rsid w:val="006D4E2A"/>
    <w:rsid w:val="006D50D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E0153"/>
    <w:rsid w:val="006E01D7"/>
    <w:rsid w:val="006E0582"/>
    <w:rsid w:val="006E0803"/>
    <w:rsid w:val="006E0881"/>
    <w:rsid w:val="006E0EF8"/>
    <w:rsid w:val="006E1061"/>
    <w:rsid w:val="006E11ED"/>
    <w:rsid w:val="006E16EB"/>
    <w:rsid w:val="006E26BF"/>
    <w:rsid w:val="006E366C"/>
    <w:rsid w:val="006E3D22"/>
    <w:rsid w:val="006E3DFB"/>
    <w:rsid w:val="006E3E6D"/>
    <w:rsid w:val="006E3EA5"/>
    <w:rsid w:val="006E3F65"/>
    <w:rsid w:val="006E4416"/>
    <w:rsid w:val="006E44C5"/>
    <w:rsid w:val="006E47C6"/>
    <w:rsid w:val="006E4AF8"/>
    <w:rsid w:val="006E4EA4"/>
    <w:rsid w:val="006E51B5"/>
    <w:rsid w:val="006E589B"/>
    <w:rsid w:val="006E60F1"/>
    <w:rsid w:val="006E645E"/>
    <w:rsid w:val="006E647C"/>
    <w:rsid w:val="006E6999"/>
    <w:rsid w:val="006E6F61"/>
    <w:rsid w:val="006E6F8E"/>
    <w:rsid w:val="006E771F"/>
    <w:rsid w:val="006E79B7"/>
    <w:rsid w:val="006E7BBB"/>
    <w:rsid w:val="006E7D41"/>
    <w:rsid w:val="006F02B7"/>
    <w:rsid w:val="006F0492"/>
    <w:rsid w:val="006F07FC"/>
    <w:rsid w:val="006F096B"/>
    <w:rsid w:val="006F1884"/>
    <w:rsid w:val="006F1984"/>
    <w:rsid w:val="006F1A0E"/>
    <w:rsid w:val="006F1E80"/>
    <w:rsid w:val="006F2468"/>
    <w:rsid w:val="006F2D41"/>
    <w:rsid w:val="006F2DAB"/>
    <w:rsid w:val="006F2DFA"/>
    <w:rsid w:val="006F2F58"/>
    <w:rsid w:val="006F4130"/>
    <w:rsid w:val="006F4989"/>
    <w:rsid w:val="006F4A66"/>
    <w:rsid w:val="006F4AEF"/>
    <w:rsid w:val="006F4B84"/>
    <w:rsid w:val="006F580D"/>
    <w:rsid w:val="006F6665"/>
    <w:rsid w:val="006F6844"/>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321"/>
    <w:rsid w:val="007035BD"/>
    <w:rsid w:val="0070385C"/>
    <w:rsid w:val="00703AA2"/>
    <w:rsid w:val="00704DB9"/>
    <w:rsid w:val="00704DE4"/>
    <w:rsid w:val="007050B0"/>
    <w:rsid w:val="00705429"/>
    <w:rsid w:val="0070643D"/>
    <w:rsid w:val="007067BB"/>
    <w:rsid w:val="00706ADC"/>
    <w:rsid w:val="00707D37"/>
    <w:rsid w:val="00710296"/>
    <w:rsid w:val="00710E4A"/>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3F4"/>
    <w:rsid w:val="00717414"/>
    <w:rsid w:val="00717447"/>
    <w:rsid w:val="0072069C"/>
    <w:rsid w:val="00720725"/>
    <w:rsid w:val="00720888"/>
    <w:rsid w:val="00721BA6"/>
    <w:rsid w:val="00722048"/>
    <w:rsid w:val="007221A2"/>
    <w:rsid w:val="00722290"/>
    <w:rsid w:val="0072244E"/>
    <w:rsid w:val="00722855"/>
    <w:rsid w:val="00722F51"/>
    <w:rsid w:val="0072314F"/>
    <w:rsid w:val="0072349A"/>
    <w:rsid w:val="007239F5"/>
    <w:rsid w:val="00723C1D"/>
    <w:rsid w:val="00724B02"/>
    <w:rsid w:val="00724F21"/>
    <w:rsid w:val="0072512D"/>
    <w:rsid w:val="00725B3A"/>
    <w:rsid w:val="00725CF6"/>
    <w:rsid w:val="00726A40"/>
    <w:rsid w:val="00726DAF"/>
    <w:rsid w:val="00726F88"/>
    <w:rsid w:val="00726FEA"/>
    <w:rsid w:val="007277EE"/>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6EB"/>
    <w:rsid w:val="00733C82"/>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3288"/>
    <w:rsid w:val="007434DA"/>
    <w:rsid w:val="00743556"/>
    <w:rsid w:val="00743627"/>
    <w:rsid w:val="00743D03"/>
    <w:rsid w:val="00743E93"/>
    <w:rsid w:val="00744063"/>
    <w:rsid w:val="00744E3C"/>
    <w:rsid w:val="00745838"/>
    <w:rsid w:val="007459D5"/>
    <w:rsid w:val="00745D1F"/>
    <w:rsid w:val="00745EE5"/>
    <w:rsid w:val="0074638A"/>
    <w:rsid w:val="00747183"/>
    <w:rsid w:val="007477CA"/>
    <w:rsid w:val="00750021"/>
    <w:rsid w:val="007509AB"/>
    <w:rsid w:val="007510A7"/>
    <w:rsid w:val="00751216"/>
    <w:rsid w:val="00751A20"/>
    <w:rsid w:val="00751B1B"/>
    <w:rsid w:val="00751FA1"/>
    <w:rsid w:val="00752128"/>
    <w:rsid w:val="0075224B"/>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36E"/>
    <w:rsid w:val="007565FC"/>
    <w:rsid w:val="00756F85"/>
    <w:rsid w:val="0075743E"/>
    <w:rsid w:val="0075772C"/>
    <w:rsid w:val="00757892"/>
    <w:rsid w:val="00760100"/>
    <w:rsid w:val="007601C0"/>
    <w:rsid w:val="007604BE"/>
    <w:rsid w:val="007606C6"/>
    <w:rsid w:val="00760C96"/>
    <w:rsid w:val="00760E1B"/>
    <w:rsid w:val="00760F8E"/>
    <w:rsid w:val="0076137F"/>
    <w:rsid w:val="00761C44"/>
    <w:rsid w:val="00762773"/>
    <w:rsid w:val="007629B7"/>
    <w:rsid w:val="007629F7"/>
    <w:rsid w:val="00762A44"/>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670"/>
    <w:rsid w:val="0076777A"/>
    <w:rsid w:val="007678D9"/>
    <w:rsid w:val="00767B5C"/>
    <w:rsid w:val="00767B5D"/>
    <w:rsid w:val="00767C30"/>
    <w:rsid w:val="00767C90"/>
    <w:rsid w:val="00767EA2"/>
    <w:rsid w:val="00767ECF"/>
    <w:rsid w:val="007701B9"/>
    <w:rsid w:val="007702C0"/>
    <w:rsid w:val="00770552"/>
    <w:rsid w:val="00770F24"/>
    <w:rsid w:val="00772124"/>
    <w:rsid w:val="0077227D"/>
    <w:rsid w:val="007723D5"/>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FC6"/>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EC3"/>
    <w:rsid w:val="0078414A"/>
    <w:rsid w:val="00784655"/>
    <w:rsid w:val="00784ABF"/>
    <w:rsid w:val="0078522E"/>
    <w:rsid w:val="00785444"/>
    <w:rsid w:val="00785E13"/>
    <w:rsid w:val="00785E42"/>
    <w:rsid w:val="00786A41"/>
    <w:rsid w:val="00786D61"/>
    <w:rsid w:val="00786FC8"/>
    <w:rsid w:val="00787241"/>
    <w:rsid w:val="00787760"/>
    <w:rsid w:val="007877A6"/>
    <w:rsid w:val="00787D2D"/>
    <w:rsid w:val="007902D4"/>
    <w:rsid w:val="0079090C"/>
    <w:rsid w:val="007909C8"/>
    <w:rsid w:val="00790D48"/>
    <w:rsid w:val="0079127F"/>
    <w:rsid w:val="00791CD9"/>
    <w:rsid w:val="00792190"/>
    <w:rsid w:val="007925A9"/>
    <w:rsid w:val="007925EE"/>
    <w:rsid w:val="00792AC0"/>
    <w:rsid w:val="00792BB5"/>
    <w:rsid w:val="00793410"/>
    <w:rsid w:val="007936F1"/>
    <w:rsid w:val="0079382D"/>
    <w:rsid w:val="00793F01"/>
    <w:rsid w:val="007942B9"/>
    <w:rsid w:val="007951FF"/>
    <w:rsid w:val="00795315"/>
    <w:rsid w:val="007961A4"/>
    <w:rsid w:val="00796918"/>
    <w:rsid w:val="007969C5"/>
    <w:rsid w:val="00796B79"/>
    <w:rsid w:val="00796B7F"/>
    <w:rsid w:val="00796CAA"/>
    <w:rsid w:val="00796DBB"/>
    <w:rsid w:val="00796FA6"/>
    <w:rsid w:val="00797660"/>
    <w:rsid w:val="00797991"/>
    <w:rsid w:val="00797DA2"/>
    <w:rsid w:val="00797E2B"/>
    <w:rsid w:val="00797F1E"/>
    <w:rsid w:val="007A0208"/>
    <w:rsid w:val="007A029E"/>
    <w:rsid w:val="007A043A"/>
    <w:rsid w:val="007A06B0"/>
    <w:rsid w:val="007A0C6E"/>
    <w:rsid w:val="007A1345"/>
    <w:rsid w:val="007A152A"/>
    <w:rsid w:val="007A1845"/>
    <w:rsid w:val="007A1C42"/>
    <w:rsid w:val="007A1D5A"/>
    <w:rsid w:val="007A1F8C"/>
    <w:rsid w:val="007A1FD8"/>
    <w:rsid w:val="007A2730"/>
    <w:rsid w:val="007A2A43"/>
    <w:rsid w:val="007A3000"/>
    <w:rsid w:val="007A30A8"/>
    <w:rsid w:val="007A37B1"/>
    <w:rsid w:val="007A3F47"/>
    <w:rsid w:val="007A3F4B"/>
    <w:rsid w:val="007A4296"/>
    <w:rsid w:val="007A4A38"/>
    <w:rsid w:val="007A4B86"/>
    <w:rsid w:val="007A5868"/>
    <w:rsid w:val="007A6960"/>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2FB6"/>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77B"/>
    <w:rsid w:val="007C5ACB"/>
    <w:rsid w:val="007C5CAC"/>
    <w:rsid w:val="007C5DBE"/>
    <w:rsid w:val="007C6085"/>
    <w:rsid w:val="007C62C0"/>
    <w:rsid w:val="007C633E"/>
    <w:rsid w:val="007C63CB"/>
    <w:rsid w:val="007C680D"/>
    <w:rsid w:val="007C7CB9"/>
    <w:rsid w:val="007D04C9"/>
    <w:rsid w:val="007D05EF"/>
    <w:rsid w:val="007D0749"/>
    <w:rsid w:val="007D0B47"/>
    <w:rsid w:val="007D1847"/>
    <w:rsid w:val="007D228B"/>
    <w:rsid w:val="007D2467"/>
    <w:rsid w:val="007D29AA"/>
    <w:rsid w:val="007D32C2"/>
    <w:rsid w:val="007D379D"/>
    <w:rsid w:val="007D5153"/>
    <w:rsid w:val="007D5E44"/>
    <w:rsid w:val="007D629D"/>
    <w:rsid w:val="007D6651"/>
    <w:rsid w:val="007D69F9"/>
    <w:rsid w:val="007D77BD"/>
    <w:rsid w:val="007D7DFA"/>
    <w:rsid w:val="007E00FE"/>
    <w:rsid w:val="007E0642"/>
    <w:rsid w:val="007E079E"/>
    <w:rsid w:val="007E0A3C"/>
    <w:rsid w:val="007E0A7D"/>
    <w:rsid w:val="007E0D73"/>
    <w:rsid w:val="007E196F"/>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5311"/>
    <w:rsid w:val="007E5508"/>
    <w:rsid w:val="007E55B2"/>
    <w:rsid w:val="007E5DF9"/>
    <w:rsid w:val="007E707F"/>
    <w:rsid w:val="007E7342"/>
    <w:rsid w:val="007E735A"/>
    <w:rsid w:val="007E74B3"/>
    <w:rsid w:val="007E74F1"/>
    <w:rsid w:val="007E791F"/>
    <w:rsid w:val="007E79BA"/>
    <w:rsid w:val="007E7B40"/>
    <w:rsid w:val="007E7B47"/>
    <w:rsid w:val="007E7DE6"/>
    <w:rsid w:val="007E7DF7"/>
    <w:rsid w:val="007F063F"/>
    <w:rsid w:val="007F0752"/>
    <w:rsid w:val="007F0949"/>
    <w:rsid w:val="007F099A"/>
    <w:rsid w:val="007F108A"/>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2994"/>
    <w:rsid w:val="00802998"/>
    <w:rsid w:val="008029F4"/>
    <w:rsid w:val="00802FFF"/>
    <w:rsid w:val="008035CF"/>
    <w:rsid w:val="00803A09"/>
    <w:rsid w:val="00803FE0"/>
    <w:rsid w:val="008044A7"/>
    <w:rsid w:val="00804781"/>
    <w:rsid w:val="00804823"/>
    <w:rsid w:val="00804B67"/>
    <w:rsid w:val="00804C80"/>
    <w:rsid w:val="00804EC5"/>
    <w:rsid w:val="00805106"/>
    <w:rsid w:val="008054CA"/>
    <w:rsid w:val="00805521"/>
    <w:rsid w:val="00805685"/>
    <w:rsid w:val="00805A30"/>
    <w:rsid w:val="00805F02"/>
    <w:rsid w:val="008061B2"/>
    <w:rsid w:val="00806770"/>
    <w:rsid w:val="0080684B"/>
    <w:rsid w:val="00806A41"/>
    <w:rsid w:val="00807F57"/>
    <w:rsid w:val="00810177"/>
    <w:rsid w:val="00810931"/>
    <w:rsid w:val="00810A7D"/>
    <w:rsid w:val="008110DF"/>
    <w:rsid w:val="0081130A"/>
    <w:rsid w:val="00811424"/>
    <w:rsid w:val="008118A8"/>
    <w:rsid w:val="00811F1E"/>
    <w:rsid w:val="008124D0"/>
    <w:rsid w:val="0081275A"/>
    <w:rsid w:val="00812AB2"/>
    <w:rsid w:val="00812B07"/>
    <w:rsid w:val="00812E92"/>
    <w:rsid w:val="00812EB8"/>
    <w:rsid w:val="008130A7"/>
    <w:rsid w:val="0081323D"/>
    <w:rsid w:val="008132BC"/>
    <w:rsid w:val="00813496"/>
    <w:rsid w:val="00813731"/>
    <w:rsid w:val="008137DB"/>
    <w:rsid w:val="00813D08"/>
    <w:rsid w:val="008140DB"/>
    <w:rsid w:val="00814516"/>
    <w:rsid w:val="008148B8"/>
    <w:rsid w:val="00814B10"/>
    <w:rsid w:val="00814F00"/>
    <w:rsid w:val="00815088"/>
    <w:rsid w:val="008153BE"/>
    <w:rsid w:val="008153F4"/>
    <w:rsid w:val="008163EF"/>
    <w:rsid w:val="008165E4"/>
    <w:rsid w:val="0081664D"/>
    <w:rsid w:val="00816B7D"/>
    <w:rsid w:val="00816C98"/>
    <w:rsid w:val="00816D02"/>
    <w:rsid w:val="00816EC3"/>
    <w:rsid w:val="00817588"/>
    <w:rsid w:val="00817C92"/>
    <w:rsid w:val="00817D5B"/>
    <w:rsid w:val="008202A8"/>
    <w:rsid w:val="00820E02"/>
    <w:rsid w:val="008214E8"/>
    <w:rsid w:val="00821E29"/>
    <w:rsid w:val="0082263E"/>
    <w:rsid w:val="00822D6F"/>
    <w:rsid w:val="0082309E"/>
    <w:rsid w:val="00823C93"/>
    <w:rsid w:val="00823D37"/>
    <w:rsid w:val="00823D5F"/>
    <w:rsid w:val="008241BC"/>
    <w:rsid w:val="00824AA5"/>
    <w:rsid w:val="00824CC5"/>
    <w:rsid w:val="00825352"/>
    <w:rsid w:val="0082563D"/>
    <w:rsid w:val="00825903"/>
    <w:rsid w:val="00826BD5"/>
    <w:rsid w:val="008271E2"/>
    <w:rsid w:val="00827370"/>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720"/>
    <w:rsid w:val="008328B3"/>
    <w:rsid w:val="00832DB8"/>
    <w:rsid w:val="00833479"/>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18"/>
    <w:rsid w:val="0084144A"/>
    <w:rsid w:val="00842762"/>
    <w:rsid w:val="008427D0"/>
    <w:rsid w:val="008427D6"/>
    <w:rsid w:val="00842964"/>
    <w:rsid w:val="00843354"/>
    <w:rsid w:val="008435BA"/>
    <w:rsid w:val="00843B45"/>
    <w:rsid w:val="00843CC0"/>
    <w:rsid w:val="0084403C"/>
    <w:rsid w:val="00844093"/>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4E9"/>
    <w:rsid w:val="00851895"/>
    <w:rsid w:val="00851A48"/>
    <w:rsid w:val="00851B13"/>
    <w:rsid w:val="00852EBB"/>
    <w:rsid w:val="008530AD"/>
    <w:rsid w:val="008537FB"/>
    <w:rsid w:val="00853B53"/>
    <w:rsid w:val="00854898"/>
    <w:rsid w:val="00854E3F"/>
    <w:rsid w:val="00855B72"/>
    <w:rsid w:val="00855CBB"/>
    <w:rsid w:val="008562F8"/>
    <w:rsid w:val="00856602"/>
    <w:rsid w:val="0085664B"/>
    <w:rsid w:val="008566ED"/>
    <w:rsid w:val="00856AE8"/>
    <w:rsid w:val="0085747B"/>
    <w:rsid w:val="008576C0"/>
    <w:rsid w:val="00857798"/>
    <w:rsid w:val="0085780E"/>
    <w:rsid w:val="00857B5F"/>
    <w:rsid w:val="00860100"/>
    <w:rsid w:val="00860617"/>
    <w:rsid w:val="00861C88"/>
    <w:rsid w:val="00861E90"/>
    <w:rsid w:val="00862859"/>
    <w:rsid w:val="00862882"/>
    <w:rsid w:val="008629AD"/>
    <w:rsid w:val="008629D3"/>
    <w:rsid w:val="00862C98"/>
    <w:rsid w:val="00863C1E"/>
    <w:rsid w:val="00863DED"/>
    <w:rsid w:val="00864484"/>
    <w:rsid w:val="008647DB"/>
    <w:rsid w:val="008649D9"/>
    <w:rsid w:val="00864ACB"/>
    <w:rsid w:val="008659C8"/>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65F6"/>
    <w:rsid w:val="00876A73"/>
    <w:rsid w:val="00877142"/>
    <w:rsid w:val="008779B5"/>
    <w:rsid w:val="00877AB1"/>
    <w:rsid w:val="008805EC"/>
    <w:rsid w:val="00880604"/>
    <w:rsid w:val="00880723"/>
    <w:rsid w:val="0088099A"/>
    <w:rsid w:val="00880BB0"/>
    <w:rsid w:val="00880CFF"/>
    <w:rsid w:val="00881179"/>
    <w:rsid w:val="008818A8"/>
    <w:rsid w:val="0088191E"/>
    <w:rsid w:val="00882451"/>
    <w:rsid w:val="00882FA8"/>
    <w:rsid w:val="00883EDC"/>
    <w:rsid w:val="00884028"/>
    <w:rsid w:val="008848F6"/>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82F"/>
    <w:rsid w:val="00891DA2"/>
    <w:rsid w:val="00892165"/>
    <w:rsid w:val="00892266"/>
    <w:rsid w:val="00892B7A"/>
    <w:rsid w:val="00892E16"/>
    <w:rsid w:val="0089362B"/>
    <w:rsid w:val="0089369D"/>
    <w:rsid w:val="00893700"/>
    <w:rsid w:val="00893BA8"/>
    <w:rsid w:val="00893E03"/>
    <w:rsid w:val="00893E71"/>
    <w:rsid w:val="00893F65"/>
    <w:rsid w:val="00893FBA"/>
    <w:rsid w:val="00894247"/>
    <w:rsid w:val="008944D8"/>
    <w:rsid w:val="00894A46"/>
    <w:rsid w:val="00894D98"/>
    <w:rsid w:val="00895B27"/>
    <w:rsid w:val="00895E36"/>
    <w:rsid w:val="00896882"/>
    <w:rsid w:val="00896C23"/>
    <w:rsid w:val="0089757E"/>
    <w:rsid w:val="00897C5E"/>
    <w:rsid w:val="008A01E9"/>
    <w:rsid w:val="008A08D6"/>
    <w:rsid w:val="008A0E6B"/>
    <w:rsid w:val="008A0EB6"/>
    <w:rsid w:val="008A0F8F"/>
    <w:rsid w:val="008A1726"/>
    <w:rsid w:val="008A17BB"/>
    <w:rsid w:val="008A20E7"/>
    <w:rsid w:val="008A2C23"/>
    <w:rsid w:val="008A3273"/>
    <w:rsid w:val="008A342A"/>
    <w:rsid w:val="008A36A3"/>
    <w:rsid w:val="008A373D"/>
    <w:rsid w:val="008A3741"/>
    <w:rsid w:val="008A3978"/>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768"/>
    <w:rsid w:val="008A79BC"/>
    <w:rsid w:val="008A7A49"/>
    <w:rsid w:val="008A7BD1"/>
    <w:rsid w:val="008B01E8"/>
    <w:rsid w:val="008B041F"/>
    <w:rsid w:val="008B0BA2"/>
    <w:rsid w:val="008B14C7"/>
    <w:rsid w:val="008B155A"/>
    <w:rsid w:val="008B1765"/>
    <w:rsid w:val="008B27A9"/>
    <w:rsid w:val="008B2834"/>
    <w:rsid w:val="008B291E"/>
    <w:rsid w:val="008B343D"/>
    <w:rsid w:val="008B34AD"/>
    <w:rsid w:val="008B44E0"/>
    <w:rsid w:val="008B4753"/>
    <w:rsid w:val="008B4775"/>
    <w:rsid w:val="008B479B"/>
    <w:rsid w:val="008B4994"/>
    <w:rsid w:val="008B4AB2"/>
    <w:rsid w:val="008B4B3A"/>
    <w:rsid w:val="008B545D"/>
    <w:rsid w:val="008B5A6D"/>
    <w:rsid w:val="008B5BDA"/>
    <w:rsid w:val="008B5ECF"/>
    <w:rsid w:val="008B6169"/>
    <w:rsid w:val="008B66FA"/>
    <w:rsid w:val="008B6BBE"/>
    <w:rsid w:val="008B7050"/>
    <w:rsid w:val="008B7235"/>
    <w:rsid w:val="008B738A"/>
    <w:rsid w:val="008B73B5"/>
    <w:rsid w:val="008B74FB"/>
    <w:rsid w:val="008B7CB3"/>
    <w:rsid w:val="008B7DED"/>
    <w:rsid w:val="008B7FF0"/>
    <w:rsid w:val="008C0359"/>
    <w:rsid w:val="008C111D"/>
    <w:rsid w:val="008C24C2"/>
    <w:rsid w:val="008C2DC3"/>
    <w:rsid w:val="008C36D7"/>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19B3"/>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839"/>
    <w:rsid w:val="008D5AC7"/>
    <w:rsid w:val="008D5B4C"/>
    <w:rsid w:val="008D6239"/>
    <w:rsid w:val="008D64A2"/>
    <w:rsid w:val="008D6801"/>
    <w:rsid w:val="008D6F6B"/>
    <w:rsid w:val="008D71D1"/>
    <w:rsid w:val="008D7317"/>
    <w:rsid w:val="008D77F0"/>
    <w:rsid w:val="008E0600"/>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183"/>
    <w:rsid w:val="008E6B65"/>
    <w:rsid w:val="008F0294"/>
    <w:rsid w:val="008F040E"/>
    <w:rsid w:val="008F050B"/>
    <w:rsid w:val="008F0609"/>
    <w:rsid w:val="008F0E13"/>
    <w:rsid w:val="008F1186"/>
    <w:rsid w:val="008F140A"/>
    <w:rsid w:val="008F2061"/>
    <w:rsid w:val="008F2738"/>
    <w:rsid w:val="008F28B7"/>
    <w:rsid w:val="008F2BB7"/>
    <w:rsid w:val="008F3099"/>
    <w:rsid w:val="008F347C"/>
    <w:rsid w:val="008F3497"/>
    <w:rsid w:val="008F37CB"/>
    <w:rsid w:val="008F3B19"/>
    <w:rsid w:val="008F4686"/>
    <w:rsid w:val="008F485C"/>
    <w:rsid w:val="008F5398"/>
    <w:rsid w:val="008F54E8"/>
    <w:rsid w:val="008F55A4"/>
    <w:rsid w:val="008F58FC"/>
    <w:rsid w:val="008F6749"/>
    <w:rsid w:val="008F690B"/>
    <w:rsid w:val="008F6936"/>
    <w:rsid w:val="008F743A"/>
    <w:rsid w:val="008F7AD7"/>
    <w:rsid w:val="008F7B7C"/>
    <w:rsid w:val="008F7BFC"/>
    <w:rsid w:val="008F7F68"/>
    <w:rsid w:val="009006FA"/>
    <w:rsid w:val="00900789"/>
    <w:rsid w:val="0090082B"/>
    <w:rsid w:val="009009A8"/>
    <w:rsid w:val="00900EC5"/>
    <w:rsid w:val="00901CBF"/>
    <w:rsid w:val="00902212"/>
    <w:rsid w:val="009023DA"/>
    <w:rsid w:val="0090288C"/>
    <w:rsid w:val="00902D7D"/>
    <w:rsid w:val="0090367B"/>
    <w:rsid w:val="009036B7"/>
    <w:rsid w:val="00903C24"/>
    <w:rsid w:val="00903D85"/>
    <w:rsid w:val="00903FF5"/>
    <w:rsid w:val="00904326"/>
    <w:rsid w:val="009045A0"/>
    <w:rsid w:val="009047DA"/>
    <w:rsid w:val="0090523A"/>
    <w:rsid w:val="0090567F"/>
    <w:rsid w:val="009059A1"/>
    <w:rsid w:val="00905AA5"/>
    <w:rsid w:val="00906402"/>
    <w:rsid w:val="009064A3"/>
    <w:rsid w:val="00906A3D"/>
    <w:rsid w:val="00906C3F"/>
    <w:rsid w:val="00906D64"/>
    <w:rsid w:val="0090716A"/>
    <w:rsid w:val="0090785D"/>
    <w:rsid w:val="00907AB5"/>
    <w:rsid w:val="00907BE0"/>
    <w:rsid w:val="00907C06"/>
    <w:rsid w:val="00907F57"/>
    <w:rsid w:val="00910393"/>
    <w:rsid w:val="009104D8"/>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99E"/>
    <w:rsid w:val="00917209"/>
    <w:rsid w:val="0091752B"/>
    <w:rsid w:val="00917828"/>
    <w:rsid w:val="00917DA9"/>
    <w:rsid w:val="00920779"/>
    <w:rsid w:val="00920D4D"/>
    <w:rsid w:val="00921220"/>
    <w:rsid w:val="009212CF"/>
    <w:rsid w:val="00921414"/>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57E"/>
    <w:rsid w:val="0093187B"/>
    <w:rsid w:val="00931C00"/>
    <w:rsid w:val="00932068"/>
    <w:rsid w:val="009321B0"/>
    <w:rsid w:val="009324AA"/>
    <w:rsid w:val="009325F5"/>
    <w:rsid w:val="00932622"/>
    <w:rsid w:val="009329A8"/>
    <w:rsid w:val="00932A97"/>
    <w:rsid w:val="009339D6"/>
    <w:rsid w:val="00933E13"/>
    <w:rsid w:val="00933EED"/>
    <w:rsid w:val="00934424"/>
    <w:rsid w:val="009347F3"/>
    <w:rsid w:val="00934EC0"/>
    <w:rsid w:val="009355A7"/>
    <w:rsid w:val="009360A8"/>
    <w:rsid w:val="00936502"/>
    <w:rsid w:val="00937294"/>
    <w:rsid w:val="009376A2"/>
    <w:rsid w:val="00937737"/>
    <w:rsid w:val="00937BD5"/>
    <w:rsid w:val="009406E4"/>
    <w:rsid w:val="009406E6"/>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87F"/>
    <w:rsid w:val="00950EDA"/>
    <w:rsid w:val="009511E0"/>
    <w:rsid w:val="009511E1"/>
    <w:rsid w:val="0095185A"/>
    <w:rsid w:val="00951A91"/>
    <w:rsid w:val="00951F8D"/>
    <w:rsid w:val="0095226F"/>
    <w:rsid w:val="009522B0"/>
    <w:rsid w:val="0095247A"/>
    <w:rsid w:val="0095254C"/>
    <w:rsid w:val="009526AF"/>
    <w:rsid w:val="00952A87"/>
    <w:rsid w:val="0095308A"/>
    <w:rsid w:val="0095390B"/>
    <w:rsid w:val="00953A30"/>
    <w:rsid w:val="009542D6"/>
    <w:rsid w:val="009545A6"/>
    <w:rsid w:val="009547CA"/>
    <w:rsid w:val="009550D0"/>
    <w:rsid w:val="0095571D"/>
    <w:rsid w:val="00955994"/>
    <w:rsid w:val="00955CF3"/>
    <w:rsid w:val="00955E93"/>
    <w:rsid w:val="00956720"/>
    <w:rsid w:val="009568E3"/>
    <w:rsid w:val="00956E81"/>
    <w:rsid w:val="00956FA5"/>
    <w:rsid w:val="00957001"/>
    <w:rsid w:val="00957279"/>
    <w:rsid w:val="00957879"/>
    <w:rsid w:val="0095797A"/>
    <w:rsid w:val="009579C9"/>
    <w:rsid w:val="00960123"/>
    <w:rsid w:val="0096022D"/>
    <w:rsid w:val="00960417"/>
    <w:rsid w:val="0096095F"/>
    <w:rsid w:val="00961278"/>
    <w:rsid w:val="00961451"/>
    <w:rsid w:val="00961809"/>
    <w:rsid w:val="00961B6E"/>
    <w:rsid w:val="0096220E"/>
    <w:rsid w:val="009624AA"/>
    <w:rsid w:val="009624D8"/>
    <w:rsid w:val="009625F5"/>
    <w:rsid w:val="0096299A"/>
    <w:rsid w:val="009629A3"/>
    <w:rsid w:val="00962B39"/>
    <w:rsid w:val="00962B7C"/>
    <w:rsid w:val="00962CD5"/>
    <w:rsid w:val="009631E8"/>
    <w:rsid w:val="00963589"/>
    <w:rsid w:val="009644BF"/>
    <w:rsid w:val="00964747"/>
    <w:rsid w:val="009656B8"/>
    <w:rsid w:val="00965AF7"/>
    <w:rsid w:val="00965C82"/>
    <w:rsid w:val="009662C3"/>
    <w:rsid w:val="00966699"/>
    <w:rsid w:val="00966DE5"/>
    <w:rsid w:val="00966E08"/>
    <w:rsid w:val="00966F7E"/>
    <w:rsid w:val="009677EE"/>
    <w:rsid w:val="0096783C"/>
    <w:rsid w:val="009705DF"/>
    <w:rsid w:val="009709C6"/>
    <w:rsid w:val="00970A2B"/>
    <w:rsid w:val="00970A52"/>
    <w:rsid w:val="00970A57"/>
    <w:rsid w:val="00970BA2"/>
    <w:rsid w:val="0097117D"/>
    <w:rsid w:val="009712A5"/>
    <w:rsid w:val="009717F1"/>
    <w:rsid w:val="00971CC4"/>
    <w:rsid w:val="00971D96"/>
    <w:rsid w:val="00971F0A"/>
    <w:rsid w:val="00971FEE"/>
    <w:rsid w:val="00972076"/>
    <w:rsid w:val="009726CB"/>
    <w:rsid w:val="009726EC"/>
    <w:rsid w:val="00972908"/>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B"/>
    <w:rsid w:val="00976866"/>
    <w:rsid w:val="0097688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3FC4"/>
    <w:rsid w:val="00984091"/>
    <w:rsid w:val="009847B1"/>
    <w:rsid w:val="009847F9"/>
    <w:rsid w:val="009851FD"/>
    <w:rsid w:val="009864C2"/>
    <w:rsid w:val="009866D2"/>
    <w:rsid w:val="00987035"/>
    <w:rsid w:val="00987529"/>
    <w:rsid w:val="00987881"/>
    <w:rsid w:val="00987935"/>
    <w:rsid w:val="00987A50"/>
    <w:rsid w:val="00987B17"/>
    <w:rsid w:val="00987EF1"/>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D2"/>
    <w:rsid w:val="0099648F"/>
    <w:rsid w:val="0099667A"/>
    <w:rsid w:val="00996C43"/>
    <w:rsid w:val="00996C80"/>
    <w:rsid w:val="0099764E"/>
    <w:rsid w:val="00997A93"/>
    <w:rsid w:val="009A0C84"/>
    <w:rsid w:val="009A0E9C"/>
    <w:rsid w:val="009A1113"/>
    <w:rsid w:val="009A17B4"/>
    <w:rsid w:val="009A1849"/>
    <w:rsid w:val="009A1944"/>
    <w:rsid w:val="009A1EC6"/>
    <w:rsid w:val="009A20A6"/>
    <w:rsid w:val="009A2174"/>
    <w:rsid w:val="009A221E"/>
    <w:rsid w:val="009A27C1"/>
    <w:rsid w:val="009A2881"/>
    <w:rsid w:val="009A2939"/>
    <w:rsid w:val="009A2A7D"/>
    <w:rsid w:val="009A2CF7"/>
    <w:rsid w:val="009A33CC"/>
    <w:rsid w:val="009A367A"/>
    <w:rsid w:val="009A3DB8"/>
    <w:rsid w:val="009A4614"/>
    <w:rsid w:val="009A5287"/>
    <w:rsid w:val="009A563A"/>
    <w:rsid w:val="009A56FB"/>
    <w:rsid w:val="009A5B5F"/>
    <w:rsid w:val="009A64A5"/>
    <w:rsid w:val="009A6639"/>
    <w:rsid w:val="009A6678"/>
    <w:rsid w:val="009A6776"/>
    <w:rsid w:val="009A6F22"/>
    <w:rsid w:val="009A7209"/>
    <w:rsid w:val="009A72EF"/>
    <w:rsid w:val="009A732A"/>
    <w:rsid w:val="009A759C"/>
    <w:rsid w:val="009A769F"/>
    <w:rsid w:val="009A7D8A"/>
    <w:rsid w:val="009B0097"/>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228"/>
    <w:rsid w:val="009B6BE2"/>
    <w:rsid w:val="009B6D0B"/>
    <w:rsid w:val="009B6E54"/>
    <w:rsid w:val="009B79EB"/>
    <w:rsid w:val="009C00E0"/>
    <w:rsid w:val="009C03A4"/>
    <w:rsid w:val="009C0538"/>
    <w:rsid w:val="009C0963"/>
    <w:rsid w:val="009C0E80"/>
    <w:rsid w:val="009C0EDA"/>
    <w:rsid w:val="009C0F06"/>
    <w:rsid w:val="009C1357"/>
    <w:rsid w:val="009C1B8D"/>
    <w:rsid w:val="009C1FDD"/>
    <w:rsid w:val="009C2203"/>
    <w:rsid w:val="009C25E2"/>
    <w:rsid w:val="009C2617"/>
    <w:rsid w:val="009C27C8"/>
    <w:rsid w:val="009C2838"/>
    <w:rsid w:val="009C2E33"/>
    <w:rsid w:val="009C3B05"/>
    <w:rsid w:val="009C41C6"/>
    <w:rsid w:val="009C4C99"/>
    <w:rsid w:val="009C5163"/>
    <w:rsid w:val="009C5595"/>
    <w:rsid w:val="009C569A"/>
    <w:rsid w:val="009C5D9A"/>
    <w:rsid w:val="009C6BB2"/>
    <w:rsid w:val="009C79DA"/>
    <w:rsid w:val="009C7A52"/>
    <w:rsid w:val="009C7E88"/>
    <w:rsid w:val="009C7ED5"/>
    <w:rsid w:val="009D0150"/>
    <w:rsid w:val="009D02C0"/>
    <w:rsid w:val="009D03E9"/>
    <w:rsid w:val="009D1097"/>
    <w:rsid w:val="009D1387"/>
    <w:rsid w:val="009D192B"/>
    <w:rsid w:val="009D1EE0"/>
    <w:rsid w:val="009D2AF0"/>
    <w:rsid w:val="009D2BED"/>
    <w:rsid w:val="009D2C27"/>
    <w:rsid w:val="009D2C3A"/>
    <w:rsid w:val="009D35C1"/>
    <w:rsid w:val="009D41CA"/>
    <w:rsid w:val="009D44FC"/>
    <w:rsid w:val="009D48BA"/>
    <w:rsid w:val="009D4966"/>
    <w:rsid w:val="009D4EA6"/>
    <w:rsid w:val="009D56B3"/>
    <w:rsid w:val="009D5831"/>
    <w:rsid w:val="009D60E3"/>
    <w:rsid w:val="009D67EF"/>
    <w:rsid w:val="009D687C"/>
    <w:rsid w:val="009D6909"/>
    <w:rsid w:val="009D72CE"/>
    <w:rsid w:val="009D7665"/>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42F5"/>
    <w:rsid w:val="009E4400"/>
    <w:rsid w:val="009E445B"/>
    <w:rsid w:val="009E4727"/>
    <w:rsid w:val="009E48B9"/>
    <w:rsid w:val="009E4912"/>
    <w:rsid w:val="009E4ECB"/>
    <w:rsid w:val="009E4F27"/>
    <w:rsid w:val="009E4FA5"/>
    <w:rsid w:val="009E51FD"/>
    <w:rsid w:val="009E5CB1"/>
    <w:rsid w:val="009E6461"/>
    <w:rsid w:val="009E64E4"/>
    <w:rsid w:val="009E66C4"/>
    <w:rsid w:val="009E7041"/>
    <w:rsid w:val="009E774B"/>
    <w:rsid w:val="009E776E"/>
    <w:rsid w:val="009E7BD1"/>
    <w:rsid w:val="009E7BF6"/>
    <w:rsid w:val="009F0367"/>
    <w:rsid w:val="009F0EBE"/>
    <w:rsid w:val="009F0F38"/>
    <w:rsid w:val="009F15CB"/>
    <w:rsid w:val="009F17E6"/>
    <w:rsid w:val="009F1992"/>
    <w:rsid w:val="009F1F91"/>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203"/>
    <w:rsid w:val="009F653F"/>
    <w:rsid w:val="009F6736"/>
    <w:rsid w:val="009F69C9"/>
    <w:rsid w:val="009F6A03"/>
    <w:rsid w:val="009F6D12"/>
    <w:rsid w:val="009F72FF"/>
    <w:rsid w:val="009F734A"/>
    <w:rsid w:val="009F76AC"/>
    <w:rsid w:val="009F7D44"/>
    <w:rsid w:val="009F7E6E"/>
    <w:rsid w:val="00A00055"/>
    <w:rsid w:val="00A00284"/>
    <w:rsid w:val="00A0034C"/>
    <w:rsid w:val="00A00B25"/>
    <w:rsid w:val="00A00EE5"/>
    <w:rsid w:val="00A010D1"/>
    <w:rsid w:val="00A01AAB"/>
    <w:rsid w:val="00A01B38"/>
    <w:rsid w:val="00A01C69"/>
    <w:rsid w:val="00A01FB5"/>
    <w:rsid w:val="00A0203B"/>
    <w:rsid w:val="00A02315"/>
    <w:rsid w:val="00A02502"/>
    <w:rsid w:val="00A03361"/>
    <w:rsid w:val="00A037E0"/>
    <w:rsid w:val="00A03EF4"/>
    <w:rsid w:val="00A04409"/>
    <w:rsid w:val="00A04BFF"/>
    <w:rsid w:val="00A04EA4"/>
    <w:rsid w:val="00A05258"/>
    <w:rsid w:val="00A0528A"/>
    <w:rsid w:val="00A05743"/>
    <w:rsid w:val="00A0583C"/>
    <w:rsid w:val="00A05F4D"/>
    <w:rsid w:val="00A06029"/>
    <w:rsid w:val="00A062C0"/>
    <w:rsid w:val="00A06B88"/>
    <w:rsid w:val="00A06DAC"/>
    <w:rsid w:val="00A0765D"/>
    <w:rsid w:val="00A07EA2"/>
    <w:rsid w:val="00A10197"/>
    <w:rsid w:val="00A1039D"/>
    <w:rsid w:val="00A11A74"/>
    <w:rsid w:val="00A11C87"/>
    <w:rsid w:val="00A11DC4"/>
    <w:rsid w:val="00A1238C"/>
    <w:rsid w:val="00A123F7"/>
    <w:rsid w:val="00A125D4"/>
    <w:rsid w:val="00A137CD"/>
    <w:rsid w:val="00A1436A"/>
    <w:rsid w:val="00A15225"/>
    <w:rsid w:val="00A1527A"/>
    <w:rsid w:val="00A15314"/>
    <w:rsid w:val="00A15D1C"/>
    <w:rsid w:val="00A16277"/>
    <w:rsid w:val="00A1628C"/>
    <w:rsid w:val="00A1628F"/>
    <w:rsid w:val="00A16780"/>
    <w:rsid w:val="00A168B8"/>
    <w:rsid w:val="00A16BD0"/>
    <w:rsid w:val="00A16D04"/>
    <w:rsid w:val="00A16E2D"/>
    <w:rsid w:val="00A16E6C"/>
    <w:rsid w:val="00A17387"/>
    <w:rsid w:val="00A17575"/>
    <w:rsid w:val="00A17AB4"/>
    <w:rsid w:val="00A17CEF"/>
    <w:rsid w:val="00A20705"/>
    <w:rsid w:val="00A20A52"/>
    <w:rsid w:val="00A21632"/>
    <w:rsid w:val="00A219A5"/>
    <w:rsid w:val="00A21CD6"/>
    <w:rsid w:val="00A22463"/>
    <w:rsid w:val="00A22566"/>
    <w:rsid w:val="00A227D0"/>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DD9"/>
    <w:rsid w:val="00A30F8D"/>
    <w:rsid w:val="00A31832"/>
    <w:rsid w:val="00A31EDC"/>
    <w:rsid w:val="00A32004"/>
    <w:rsid w:val="00A320F9"/>
    <w:rsid w:val="00A321CC"/>
    <w:rsid w:val="00A32853"/>
    <w:rsid w:val="00A32860"/>
    <w:rsid w:val="00A32897"/>
    <w:rsid w:val="00A32A56"/>
    <w:rsid w:val="00A32D83"/>
    <w:rsid w:val="00A32F8B"/>
    <w:rsid w:val="00A33213"/>
    <w:rsid w:val="00A33981"/>
    <w:rsid w:val="00A33A73"/>
    <w:rsid w:val="00A33D72"/>
    <w:rsid w:val="00A34056"/>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DC"/>
    <w:rsid w:val="00A43218"/>
    <w:rsid w:val="00A43439"/>
    <w:rsid w:val="00A43D06"/>
    <w:rsid w:val="00A43E50"/>
    <w:rsid w:val="00A43EC5"/>
    <w:rsid w:val="00A43F0C"/>
    <w:rsid w:val="00A441B7"/>
    <w:rsid w:val="00A444DE"/>
    <w:rsid w:val="00A445B6"/>
    <w:rsid w:val="00A446F5"/>
    <w:rsid w:val="00A44827"/>
    <w:rsid w:val="00A44950"/>
    <w:rsid w:val="00A452EA"/>
    <w:rsid w:val="00A453C1"/>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1AB7"/>
    <w:rsid w:val="00A72B28"/>
    <w:rsid w:val="00A72E24"/>
    <w:rsid w:val="00A73B7E"/>
    <w:rsid w:val="00A7502A"/>
    <w:rsid w:val="00A75EF4"/>
    <w:rsid w:val="00A761E2"/>
    <w:rsid w:val="00A762A2"/>
    <w:rsid w:val="00A7634B"/>
    <w:rsid w:val="00A76687"/>
    <w:rsid w:val="00A76C49"/>
    <w:rsid w:val="00A76E0A"/>
    <w:rsid w:val="00A773BC"/>
    <w:rsid w:val="00A776DF"/>
    <w:rsid w:val="00A7777E"/>
    <w:rsid w:val="00A77F76"/>
    <w:rsid w:val="00A80227"/>
    <w:rsid w:val="00A80DEF"/>
    <w:rsid w:val="00A82372"/>
    <w:rsid w:val="00A82B8B"/>
    <w:rsid w:val="00A82E68"/>
    <w:rsid w:val="00A835CE"/>
    <w:rsid w:val="00A8398C"/>
    <w:rsid w:val="00A83D83"/>
    <w:rsid w:val="00A83FAC"/>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12D"/>
    <w:rsid w:val="00A91341"/>
    <w:rsid w:val="00A91422"/>
    <w:rsid w:val="00A919D2"/>
    <w:rsid w:val="00A92D2C"/>
    <w:rsid w:val="00A93086"/>
    <w:rsid w:val="00A93094"/>
    <w:rsid w:val="00A93819"/>
    <w:rsid w:val="00A93D55"/>
    <w:rsid w:val="00A93EE3"/>
    <w:rsid w:val="00A940F0"/>
    <w:rsid w:val="00A94355"/>
    <w:rsid w:val="00A9487F"/>
    <w:rsid w:val="00A94FE7"/>
    <w:rsid w:val="00A956BA"/>
    <w:rsid w:val="00A95A9E"/>
    <w:rsid w:val="00A95DFB"/>
    <w:rsid w:val="00A96C02"/>
    <w:rsid w:val="00A97081"/>
    <w:rsid w:val="00A972ED"/>
    <w:rsid w:val="00A97329"/>
    <w:rsid w:val="00A97892"/>
    <w:rsid w:val="00AA0892"/>
    <w:rsid w:val="00AA0B61"/>
    <w:rsid w:val="00AA0CD3"/>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957"/>
    <w:rsid w:val="00AA5C5C"/>
    <w:rsid w:val="00AA5D12"/>
    <w:rsid w:val="00AA64EB"/>
    <w:rsid w:val="00AA69E0"/>
    <w:rsid w:val="00AA6FAC"/>
    <w:rsid w:val="00AA7B70"/>
    <w:rsid w:val="00AA7BBD"/>
    <w:rsid w:val="00AA7FB6"/>
    <w:rsid w:val="00AB03F5"/>
    <w:rsid w:val="00AB0789"/>
    <w:rsid w:val="00AB0D59"/>
    <w:rsid w:val="00AB0EDC"/>
    <w:rsid w:val="00AB11B3"/>
    <w:rsid w:val="00AB13A6"/>
    <w:rsid w:val="00AB13E6"/>
    <w:rsid w:val="00AB1938"/>
    <w:rsid w:val="00AB1EFB"/>
    <w:rsid w:val="00AB1F24"/>
    <w:rsid w:val="00AB230C"/>
    <w:rsid w:val="00AB2596"/>
    <w:rsid w:val="00AB27DE"/>
    <w:rsid w:val="00AB2FFE"/>
    <w:rsid w:val="00AB30A9"/>
    <w:rsid w:val="00AB31D2"/>
    <w:rsid w:val="00AB32F8"/>
    <w:rsid w:val="00AB3A4B"/>
    <w:rsid w:val="00AB3D3A"/>
    <w:rsid w:val="00AB45B5"/>
    <w:rsid w:val="00AB4CEE"/>
    <w:rsid w:val="00AB4DE3"/>
    <w:rsid w:val="00AB546E"/>
    <w:rsid w:val="00AB5B72"/>
    <w:rsid w:val="00AB5CDA"/>
    <w:rsid w:val="00AB6864"/>
    <w:rsid w:val="00AB68A1"/>
    <w:rsid w:val="00AB7601"/>
    <w:rsid w:val="00AB7B2F"/>
    <w:rsid w:val="00AC0450"/>
    <w:rsid w:val="00AC075A"/>
    <w:rsid w:val="00AC0C37"/>
    <w:rsid w:val="00AC1611"/>
    <w:rsid w:val="00AC20A0"/>
    <w:rsid w:val="00AC2267"/>
    <w:rsid w:val="00AC2728"/>
    <w:rsid w:val="00AC2A20"/>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850"/>
    <w:rsid w:val="00AD337C"/>
    <w:rsid w:val="00AD37CF"/>
    <w:rsid w:val="00AD3A2D"/>
    <w:rsid w:val="00AD3C15"/>
    <w:rsid w:val="00AD3C36"/>
    <w:rsid w:val="00AD4591"/>
    <w:rsid w:val="00AD48D2"/>
    <w:rsid w:val="00AD5581"/>
    <w:rsid w:val="00AD5EDC"/>
    <w:rsid w:val="00AD5F12"/>
    <w:rsid w:val="00AD66BF"/>
    <w:rsid w:val="00AD699A"/>
    <w:rsid w:val="00AD69C3"/>
    <w:rsid w:val="00AD72B4"/>
    <w:rsid w:val="00AD7528"/>
    <w:rsid w:val="00AE0555"/>
    <w:rsid w:val="00AE064E"/>
    <w:rsid w:val="00AE0CD0"/>
    <w:rsid w:val="00AE0EA3"/>
    <w:rsid w:val="00AE0FA5"/>
    <w:rsid w:val="00AE13FA"/>
    <w:rsid w:val="00AE1451"/>
    <w:rsid w:val="00AE1C04"/>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6DF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B0017D"/>
    <w:rsid w:val="00B00452"/>
    <w:rsid w:val="00B00885"/>
    <w:rsid w:val="00B00986"/>
    <w:rsid w:val="00B00CEB"/>
    <w:rsid w:val="00B010C1"/>
    <w:rsid w:val="00B01133"/>
    <w:rsid w:val="00B013C1"/>
    <w:rsid w:val="00B0164B"/>
    <w:rsid w:val="00B01C7D"/>
    <w:rsid w:val="00B01CA6"/>
    <w:rsid w:val="00B02B5D"/>
    <w:rsid w:val="00B02EC3"/>
    <w:rsid w:val="00B030F9"/>
    <w:rsid w:val="00B036F9"/>
    <w:rsid w:val="00B03875"/>
    <w:rsid w:val="00B03B51"/>
    <w:rsid w:val="00B03B7C"/>
    <w:rsid w:val="00B03C65"/>
    <w:rsid w:val="00B03CAA"/>
    <w:rsid w:val="00B03E98"/>
    <w:rsid w:val="00B0485C"/>
    <w:rsid w:val="00B04963"/>
    <w:rsid w:val="00B050F4"/>
    <w:rsid w:val="00B05276"/>
    <w:rsid w:val="00B0528A"/>
    <w:rsid w:val="00B0567C"/>
    <w:rsid w:val="00B056C1"/>
    <w:rsid w:val="00B05896"/>
    <w:rsid w:val="00B05A2A"/>
    <w:rsid w:val="00B06792"/>
    <w:rsid w:val="00B0707C"/>
    <w:rsid w:val="00B07DBE"/>
    <w:rsid w:val="00B106B5"/>
    <w:rsid w:val="00B107AC"/>
    <w:rsid w:val="00B1082D"/>
    <w:rsid w:val="00B109B4"/>
    <w:rsid w:val="00B10E3E"/>
    <w:rsid w:val="00B1102B"/>
    <w:rsid w:val="00B1183D"/>
    <w:rsid w:val="00B12150"/>
    <w:rsid w:val="00B12197"/>
    <w:rsid w:val="00B122E6"/>
    <w:rsid w:val="00B126B8"/>
    <w:rsid w:val="00B12C72"/>
    <w:rsid w:val="00B13107"/>
    <w:rsid w:val="00B1330F"/>
    <w:rsid w:val="00B13551"/>
    <w:rsid w:val="00B13938"/>
    <w:rsid w:val="00B13C95"/>
    <w:rsid w:val="00B14065"/>
    <w:rsid w:val="00B144D1"/>
    <w:rsid w:val="00B14C87"/>
    <w:rsid w:val="00B14DC4"/>
    <w:rsid w:val="00B14E01"/>
    <w:rsid w:val="00B1582B"/>
    <w:rsid w:val="00B159C3"/>
    <w:rsid w:val="00B163E9"/>
    <w:rsid w:val="00B166F3"/>
    <w:rsid w:val="00B17186"/>
    <w:rsid w:val="00B1767B"/>
    <w:rsid w:val="00B1787D"/>
    <w:rsid w:val="00B17C98"/>
    <w:rsid w:val="00B17FD0"/>
    <w:rsid w:val="00B20097"/>
    <w:rsid w:val="00B20857"/>
    <w:rsid w:val="00B209D5"/>
    <w:rsid w:val="00B209EA"/>
    <w:rsid w:val="00B20FA4"/>
    <w:rsid w:val="00B21082"/>
    <w:rsid w:val="00B21E2D"/>
    <w:rsid w:val="00B22A34"/>
    <w:rsid w:val="00B22F79"/>
    <w:rsid w:val="00B235E8"/>
    <w:rsid w:val="00B23A2C"/>
    <w:rsid w:val="00B23C24"/>
    <w:rsid w:val="00B241C7"/>
    <w:rsid w:val="00B24496"/>
    <w:rsid w:val="00B246EE"/>
    <w:rsid w:val="00B24CAB"/>
    <w:rsid w:val="00B24FB4"/>
    <w:rsid w:val="00B25C24"/>
    <w:rsid w:val="00B26993"/>
    <w:rsid w:val="00B26EBA"/>
    <w:rsid w:val="00B27867"/>
    <w:rsid w:val="00B27BF9"/>
    <w:rsid w:val="00B27DBF"/>
    <w:rsid w:val="00B27EE6"/>
    <w:rsid w:val="00B3069A"/>
    <w:rsid w:val="00B3069C"/>
    <w:rsid w:val="00B307C9"/>
    <w:rsid w:val="00B309D3"/>
    <w:rsid w:val="00B30B4D"/>
    <w:rsid w:val="00B3108D"/>
    <w:rsid w:val="00B3170F"/>
    <w:rsid w:val="00B317B7"/>
    <w:rsid w:val="00B318C6"/>
    <w:rsid w:val="00B31AF8"/>
    <w:rsid w:val="00B31EF0"/>
    <w:rsid w:val="00B31F10"/>
    <w:rsid w:val="00B3257C"/>
    <w:rsid w:val="00B32707"/>
    <w:rsid w:val="00B32EBF"/>
    <w:rsid w:val="00B3340A"/>
    <w:rsid w:val="00B3480E"/>
    <w:rsid w:val="00B34ABB"/>
    <w:rsid w:val="00B34FEE"/>
    <w:rsid w:val="00B35196"/>
    <w:rsid w:val="00B356C1"/>
    <w:rsid w:val="00B356EF"/>
    <w:rsid w:val="00B35C7E"/>
    <w:rsid w:val="00B35F6E"/>
    <w:rsid w:val="00B36145"/>
    <w:rsid w:val="00B36529"/>
    <w:rsid w:val="00B36DEA"/>
    <w:rsid w:val="00B37023"/>
    <w:rsid w:val="00B370AB"/>
    <w:rsid w:val="00B37570"/>
    <w:rsid w:val="00B3773B"/>
    <w:rsid w:val="00B37A4C"/>
    <w:rsid w:val="00B37E07"/>
    <w:rsid w:val="00B402EF"/>
    <w:rsid w:val="00B4033B"/>
    <w:rsid w:val="00B403C5"/>
    <w:rsid w:val="00B403F4"/>
    <w:rsid w:val="00B40547"/>
    <w:rsid w:val="00B409E4"/>
    <w:rsid w:val="00B40E94"/>
    <w:rsid w:val="00B40ED1"/>
    <w:rsid w:val="00B410F2"/>
    <w:rsid w:val="00B41423"/>
    <w:rsid w:val="00B41A92"/>
    <w:rsid w:val="00B41D84"/>
    <w:rsid w:val="00B41E18"/>
    <w:rsid w:val="00B422DC"/>
    <w:rsid w:val="00B4231A"/>
    <w:rsid w:val="00B4250A"/>
    <w:rsid w:val="00B4298F"/>
    <w:rsid w:val="00B42A8F"/>
    <w:rsid w:val="00B43325"/>
    <w:rsid w:val="00B43451"/>
    <w:rsid w:val="00B4437E"/>
    <w:rsid w:val="00B4537F"/>
    <w:rsid w:val="00B45B4F"/>
    <w:rsid w:val="00B45EC0"/>
    <w:rsid w:val="00B46B0F"/>
    <w:rsid w:val="00B46E27"/>
    <w:rsid w:val="00B471B6"/>
    <w:rsid w:val="00B47B5A"/>
    <w:rsid w:val="00B501AF"/>
    <w:rsid w:val="00B50375"/>
    <w:rsid w:val="00B50426"/>
    <w:rsid w:val="00B50595"/>
    <w:rsid w:val="00B5113A"/>
    <w:rsid w:val="00B51358"/>
    <w:rsid w:val="00B51974"/>
    <w:rsid w:val="00B533FB"/>
    <w:rsid w:val="00B53983"/>
    <w:rsid w:val="00B543AD"/>
    <w:rsid w:val="00B54709"/>
    <w:rsid w:val="00B55654"/>
    <w:rsid w:val="00B5568E"/>
    <w:rsid w:val="00B5591C"/>
    <w:rsid w:val="00B55B7F"/>
    <w:rsid w:val="00B55C95"/>
    <w:rsid w:val="00B55D79"/>
    <w:rsid w:val="00B56219"/>
    <w:rsid w:val="00B562BD"/>
    <w:rsid w:val="00B5640A"/>
    <w:rsid w:val="00B564B4"/>
    <w:rsid w:val="00B5675B"/>
    <w:rsid w:val="00B56A31"/>
    <w:rsid w:val="00B56CD9"/>
    <w:rsid w:val="00B56CF8"/>
    <w:rsid w:val="00B56F56"/>
    <w:rsid w:val="00B575F4"/>
    <w:rsid w:val="00B57822"/>
    <w:rsid w:val="00B578BA"/>
    <w:rsid w:val="00B57DAB"/>
    <w:rsid w:val="00B57EEF"/>
    <w:rsid w:val="00B61054"/>
    <w:rsid w:val="00B61459"/>
    <w:rsid w:val="00B61C06"/>
    <w:rsid w:val="00B623E1"/>
    <w:rsid w:val="00B6243A"/>
    <w:rsid w:val="00B62556"/>
    <w:rsid w:val="00B625ED"/>
    <w:rsid w:val="00B6368B"/>
    <w:rsid w:val="00B63B44"/>
    <w:rsid w:val="00B63D84"/>
    <w:rsid w:val="00B63FE7"/>
    <w:rsid w:val="00B64058"/>
    <w:rsid w:val="00B64069"/>
    <w:rsid w:val="00B643C1"/>
    <w:rsid w:val="00B64425"/>
    <w:rsid w:val="00B6501F"/>
    <w:rsid w:val="00B6580F"/>
    <w:rsid w:val="00B659BA"/>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10E1"/>
    <w:rsid w:val="00B7147F"/>
    <w:rsid w:val="00B71CFF"/>
    <w:rsid w:val="00B72C0A"/>
    <w:rsid w:val="00B72F2B"/>
    <w:rsid w:val="00B731CE"/>
    <w:rsid w:val="00B73A4C"/>
    <w:rsid w:val="00B73D9E"/>
    <w:rsid w:val="00B73E7F"/>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57B"/>
    <w:rsid w:val="00B808C3"/>
    <w:rsid w:val="00B80F50"/>
    <w:rsid w:val="00B811B5"/>
    <w:rsid w:val="00B814A1"/>
    <w:rsid w:val="00B81A1A"/>
    <w:rsid w:val="00B81BEE"/>
    <w:rsid w:val="00B81C28"/>
    <w:rsid w:val="00B82456"/>
    <w:rsid w:val="00B82460"/>
    <w:rsid w:val="00B824E4"/>
    <w:rsid w:val="00B82694"/>
    <w:rsid w:val="00B832E1"/>
    <w:rsid w:val="00B83A12"/>
    <w:rsid w:val="00B83E2C"/>
    <w:rsid w:val="00B84011"/>
    <w:rsid w:val="00B84232"/>
    <w:rsid w:val="00B84C2E"/>
    <w:rsid w:val="00B851C9"/>
    <w:rsid w:val="00B854A8"/>
    <w:rsid w:val="00B85867"/>
    <w:rsid w:val="00B85B53"/>
    <w:rsid w:val="00B85D0D"/>
    <w:rsid w:val="00B86144"/>
    <w:rsid w:val="00B861F1"/>
    <w:rsid w:val="00B869DA"/>
    <w:rsid w:val="00B86B70"/>
    <w:rsid w:val="00B86BC8"/>
    <w:rsid w:val="00B87BA1"/>
    <w:rsid w:val="00B87CEB"/>
    <w:rsid w:val="00B90529"/>
    <w:rsid w:val="00B90BDB"/>
    <w:rsid w:val="00B91023"/>
    <w:rsid w:val="00B912EC"/>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07"/>
    <w:rsid w:val="00B94999"/>
    <w:rsid w:val="00B94EE3"/>
    <w:rsid w:val="00B95202"/>
    <w:rsid w:val="00B95FA2"/>
    <w:rsid w:val="00B964AE"/>
    <w:rsid w:val="00B969B7"/>
    <w:rsid w:val="00B96E2C"/>
    <w:rsid w:val="00B971F5"/>
    <w:rsid w:val="00B97353"/>
    <w:rsid w:val="00B97466"/>
    <w:rsid w:val="00B9797D"/>
    <w:rsid w:val="00BA0259"/>
    <w:rsid w:val="00BA025A"/>
    <w:rsid w:val="00BA0949"/>
    <w:rsid w:val="00BA0E0C"/>
    <w:rsid w:val="00BA13EB"/>
    <w:rsid w:val="00BA1688"/>
    <w:rsid w:val="00BA1750"/>
    <w:rsid w:val="00BA17B6"/>
    <w:rsid w:val="00BA18DD"/>
    <w:rsid w:val="00BA1A5C"/>
    <w:rsid w:val="00BA205D"/>
    <w:rsid w:val="00BA23A3"/>
    <w:rsid w:val="00BA264F"/>
    <w:rsid w:val="00BA2BFD"/>
    <w:rsid w:val="00BA3044"/>
    <w:rsid w:val="00BA3E9C"/>
    <w:rsid w:val="00BA3F29"/>
    <w:rsid w:val="00BA41D6"/>
    <w:rsid w:val="00BA430D"/>
    <w:rsid w:val="00BA4EF6"/>
    <w:rsid w:val="00BA56A2"/>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112C"/>
    <w:rsid w:val="00BB1811"/>
    <w:rsid w:val="00BB2E17"/>
    <w:rsid w:val="00BB37F7"/>
    <w:rsid w:val="00BB3AE2"/>
    <w:rsid w:val="00BB46E0"/>
    <w:rsid w:val="00BB498B"/>
    <w:rsid w:val="00BB4BBE"/>
    <w:rsid w:val="00BB4E1B"/>
    <w:rsid w:val="00BB5250"/>
    <w:rsid w:val="00BB562B"/>
    <w:rsid w:val="00BB5998"/>
    <w:rsid w:val="00BB6E1B"/>
    <w:rsid w:val="00BB732D"/>
    <w:rsid w:val="00BB7802"/>
    <w:rsid w:val="00BB7B7B"/>
    <w:rsid w:val="00BB7D73"/>
    <w:rsid w:val="00BC0483"/>
    <w:rsid w:val="00BC0508"/>
    <w:rsid w:val="00BC0549"/>
    <w:rsid w:val="00BC0729"/>
    <w:rsid w:val="00BC074D"/>
    <w:rsid w:val="00BC0E25"/>
    <w:rsid w:val="00BC1025"/>
    <w:rsid w:val="00BC1257"/>
    <w:rsid w:val="00BC1676"/>
    <w:rsid w:val="00BC19D9"/>
    <w:rsid w:val="00BC1A14"/>
    <w:rsid w:val="00BC2192"/>
    <w:rsid w:val="00BC2B06"/>
    <w:rsid w:val="00BC2C17"/>
    <w:rsid w:val="00BC3C0A"/>
    <w:rsid w:val="00BC4D7A"/>
    <w:rsid w:val="00BC4F51"/>
    <w:rsid w:val="00BC55CB"/>
    <w:rsid w:val="00BC560A"/>
    <w:rsid w:val="00BC59A7"/>
    <w:rsid w:val="00BC6607"/>
    <w:rsid w:val="00BC66BD"/>
    <w:rsid w:val="00BC6BBA"/>
    <w:rsid w:val="00BC6D53"/>
    <w:rsid w:val="00BC72D2"/>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051"/>
    <w:rsid w:val="00BD51BD"/>
    <w:rsid w:val="00BD51DF"/>
    <w:rsid w:val="00BD51F3"/>
    <w:rsid w:val="00BD5362"/>
    <w:rsid w:val="00BD5424"/>
    <w:rsid w:val="00BD5C64"/>
    <w:rsid w:val="00BD6038"/>
    <w:rsid w:val="00BD65BD"/>
    <w:rsid w:val="00BD6CEF"/>
    <w:rsid w:val="00BD73F6"/>
    <w:rsid w:val="00BD7767"/>
    <w:rsid w:val="00BD7D8E"/>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47E"/>
    <w:rsid w:val="00BE4D20"/>
    <w:rsid w:val="00BE4F71"/>
    <w:rsid w:val="00BE582D"/>
    <w:rsid w:val="00BE625F"/>
    <w:rsid w:val="00BE6639"/>
    <w:rsid w:val="00BE66BA"/>
    <w:rsid w:val="00BE6A7D"/>
    <w:rsid w:val="00BE7036"/>
    <w:rsid w:val="00BE70CA"/>
    <w:rsid w:val="00BE71EF"/>
    <w:rsid w:val="00BE7258"/>
    <w:rsid w:val="00BE752D"/>
    <w:rsid w:val="00BE777C"/>
    <w:rsid w:val="00BF017F"/>
    <w:rsid w:val="00BF041A"/>
    <w:rsid w:val="00BF080C"/>
    <w:rsid w:val="00BF126F"/>
    <w:rsid w:val="00BF1739"/>
    <w:rsid w:val="00BF1B65"/>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F59"/>
    <w:rsid w:val="00BF7CF6"/>
    <w:rsid w:val="00C00575"/>
    <w:rsid w:val="00C00B2E"/>
    <w:rsid w:val="00C022AD"/>
    <w:rsid w:val="00C02BC3"/>
    <w:rsid w:val="00C03003"/>
    <w:rsid w:val="00C0359F"/>
    <w:rsid w:val="00C035B0"/>
    <w:rsid w:val="00C036C7"/>
    <w:rsid w:val="00C04508"/>
    <w:rsid w:val="00C04856"/>
    <w:rsid w:val="00C04984"/>
    <w:rsid w:val="00C049DE"/>
    <w:rsid w:val="00C050C8"/>
    <w:rsid w:val="00C0538B"/>
    <w:rsid w:val="00C05B9F"/>
    <w:rsid w:val="00C05CE6"/>
    <w:rsid w:val="00C05E28"/>
    <w:rsid w:val="00C05E69"/>
    <w:rsid w:val="00C05E89"/>
    <w:rsid w:val="00C05FEE"/>
    <w:rsid w:val="00C06D7A"/>
    <w:rsid w:val="00C07585"/>
    <w:rsid w:val="00C07CD0"/>
    <w:rsid w:val="00C07DB2"/>
    <w:rsid w:val="00C07E49"/>
    <w:rsid w:val="00C1016F"/>
    <w:rsid w:val="00C1021E"/>
    <w:rsid w:val="00C10739"/>
    <w:rsid w:val="00C11047"/>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0C6"/>
    <w:rsid w:val="00C32AF2"/>
    <w:rsid w:val="00C32D3A"/>
    <w:rsid w:val="00C32FAF"/>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8CD"/>
    <w:rsid w:val="00C36A14"/>
    <w:rsid w:val="00C36E60"/>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64D8"/>
    <w:rsid w:val="00C46BF0"/>
    <w:rsid w:val="00C46F64"/>
    <w:rsid w:val="00C47B25"/>
    <w:rsid w:val="00C502A2"/>
    <w:rsid w:val="00C5030C"/>
    <w:rsid w:val="00C50382"/>
    <w:rsid w:val="00C504E9"/>
    <w:rsid w:val="00C50801"/>
    <w:rsid w:val="00C508C3"/>
    <w:rsid w:val="00C50C99"/>
    <w:rsid w:val="00C50CE4"/>
    <w:rsid w:val="00C5132D"/>
    <w:rsid w:val="00C514D8"/>
    <w:rsid w:val="00C51986"/>
    <w:rsid w:val="00C51BA1"/>
    <w:rsid w:val="00C51D0D"/>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7379"/>
    <w:rsid w:val="00C57912"/>
    <w:rsid w:val="00C6068E"/>
    <w:rsid w:val="00C606F8"/>
    <w:rsid w:val="00C606FE"/>
    <w:rsid w:val="00C60867"/>
    <w:rsid w:val="00C60B5A"/>
    <w:rsid w:val="00C60F1B"/>
    <w:rsid w:val="00C61288"/>
    <w:rsid w:val="00C613E1"/>
    <w:rsid w:val="00C61468"/>
    <w:rsid w:val="00C62275"/>
    <w:rsid w:val="00C62861"/>
    <w:rsid w:val="00C62A8A"/>
    <w:rsid w:val="00C62AB5"/>
    <w:rsid w:val="00C62C79"/>
    <w:rsid w:val="00C62E3B"/>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4F4"/>
    <w:rsid w:val="00C745F4"/>
    <w:rsid w:val="00C749EA"/>
    <w:rsid w:val="00C74BB9"/>
    <w:rsid w:val="00C74EA7"/>
    <w:rsid w:val="00C75003"/>
    <w:rsid w:val="00C75148"/>
    <w:rsid w:val="00C755F4"/>
    <w:rsid w:val="00C763EA"/>
    <w:rsid w:val="00C764E7"/>
    <w:rsid w:val="00C766C5"/>
    <w:rsid w:val="00C7689C"/>
    <w:rsid w:val="00C76CF8"/>
    <w:rsid w:val="00C77614"/>
    <w:rsid w:val="00C779B6"/>
    <w:rsid w:val="00C77CD8"/>
    <w:rsid w:val="00C8008C"/>
    <w:rsid w:val="00C808E1"/>
    <w:rsid w:val="00C808E2"/>
    <w:rsid w:val="00C80C19"/>
    <w:rsid w:val="00C815A5"/>
    <w:rsid w:val="00C8194D"/>
    <w:rsid w:val="00C8237E"/>
    <w:rsid w:val="00C827CB"/>
    <w:rsid w:val="00C828A4"/>
    <w:rsid w:val="00C82BFB"/>
    <w:rsid w:val="00C82C90"/>
    <w:rsid w:val="00C82FBA"/>
    <w:rsid w:val="00C83679"/>
    <w:rsid w:val="00C83960"/>
    <w:rsid w:val="00C83C02"/>
    <w:rsid w:val="00C84E9D"/>
    <w:rsid w:val="00C85015"/>
    <w:rsid w:val="00C850E7"/>
    <w:rsid w:val="00C86362"/>
    <w:rsid w:val="00C8666B"/>
    <w:rsid w:val="00C8696A"/>
    <w:rsid w:val="00C875DC"/>
    <w:rsid w:val="00C87690"/>
    <w:rsid w:val="00C905A3"/>
    <w:rsid w:val="00C906E1"/>
    <w:rsid w:val="00C90CBA"/>
    <w:rsid w:val="00C90F3C"/>
    <w:rsid w:val="00C9100E"/>
    <w:rsid w:val="00C9120D"/>
    <w:rsid w:val="00C9148F"/>
    <w:rsid w:val="00C919AE"/>
    <w:rsid w:val="00C92088"/>
    <w:rsid w:val="00C926DA"/>
    <w:rsid w:val="00C92838"/>
    <w:rsid w:val="00C93318"/>
    <w:rsid w:val="00C93645"/>
    <w:rsid w:val="00C937A8"/>
    <w:rsid w:val="00C93A8A"/>
    <w:rsid w:val="00C93B4B"/>
    <w:rsid w:val="00C94108"/>
    <w:rsid w:val="00C94ADC"/>
    <w:rsid w:val="00C94FF0"/>
    <w:rsid w:val="00C9536E"/>
    <w:rsid w:val="00C95557"/>
    <w:rsid w:val="00C95667"/>
    <w:rsid w:val="00C9587F"/>
    <w:rsid w:val="00C95E7F"/>
    <w:rsid w:val="00C96239"/>
    <w:rsid w:val="00C963FC"/>
    <w:rsid w:val="00C96849"/>
    <w:rsid w:val="00C97582"/>
    <w:rsid w:val="00C977F0"/>
    <w:rsid w:val="00C97AD6"/>
    <w:rsid w:val="00C97C45"/>
    <w:rsid w:val="00C97D88"/>
    <w:rsid w:val="00C97D8B"/>
    <w:rsid w:val="00CA038A"/>
    <w:rsid w:val="00CA06E1"/>
    <w:rsid w:val="00CA0FA2"/>
    <w:rsid w:val="00CA1DBE"/>
    <w:rsid w:val="00CA22BE"/>
    <w:rsid w:val="00CA25C0"/>
    <w:rsid w:val="00CA33A0"/>
    <w:rsid w:val="00CA35BE"/>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918"/>
    <w:rsid w:val="00CB0A1B"/>
    <w:rsid w:val="00CB0DD4"/>
    <w:rsid w:val="00CB1EEF"/>
    <w:rsid w:val="00CB2302"/>
    <w:rsid w:val="00CB24A3"/>
    <w:rsid w:val="00CB2583"/>
    <w:rsid w:val="00CB2B6F"/>
    <w:rsid w:val="00CB2FF7"/>
    <w:rsid w:val="00CB305C"/>
    <w:rsid w:val="00CB3068"/>
    <w:rsid w:val="00CB30B5"/>
    <w:rsid w:val="00CB3638"/>
    <w:rsid w:val="00CB3B36"/>
    <w:rsid w:val="00CB402C"/>
    <w:rsid w:val="00CB4AE8"/>
    <w:rsid w:val="00CB4B50"/>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116A"/>
    <w:rsid w:val="00CC1FA5"/>
    <w:rsid w:val="00CC24A6"/>
    <w:rsid w:val="00CC2AD7"/>
    <w:rsid w:val="00CC2F87"/>
    <w:rsid w:val="00CC321F"/>
    <w:rsid w:val="00CC37D4"/>
    <w:rsid w:val="00CC4038"/>
    <w:rsid w:val="00CC4387"/>
    <w:rsid w:val="00CC460C"/>
    <w:rsid w:val="00CC47E3"/>
    <w:rsid w:val="00CC4C47"/>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190"/>
    <w:rsid w:val="00CD62F8"/>
    <w:rsid w:val="00CD6B42"/>
    <w:rsid w:val="00CD6ED6"/>
    <w:rsid w:val="00CD71B9"/>
    <w:rsid w:val="00CD732E"/>
    <w:rsid w:val="00CD7F55"/>
    <w:rsid w:val="00CE0661"/>
    <w:rsid w:val="00CE08CF"/>
    <w:rsid w:val="00CE0B02"/>
    <w:rsid w:val="00CE187C"/>
    <w:rsid w:val="00CE29BF"/>
    <w:rsid w:val="00CE2AEF"/>
    <w:rsid w:val="00CE2C79"/>
    <w:rsid w:val="00CE2C7A"/>
    <w:rsid w:val="00CE3153"/>
    <w:rsid w:val="00CE395B"/>
    <w:rsid w:val="00CE438A"/>
    <w:rsid w:val="00CE4599"/>
    <w:rsid w:val="00CE45E3"/>
    <w:rsid w:val="00CE473E"/>
    <w:rsid w:val="00CE49B8"/>
    <w:rsid w:val="00CE5533"/>
    <w:rsid w:val="00CE553C"/>
    <w:rsid w:val="00CE5746"/>
    <w:rsid w:val="00CE659A"/>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5E8"/>
    <w:rsid w:val="00CF1D4C"/>
    <w:rsid w:val="00CF1E98"/>
    <w:rsid w:val="00CF1FD0"/>
    <w:rsid w:val="00CF20BE"/>
    <w:rsid w:val="00CF2192"/>
    <w:rsid w:val="00CF21D0"/>
    <w:rsid w:val="00CF222F"/>
    <w:rsid w:val="00CF2388"/>
    <w:rsid w:val="00CF2418"/>
    <w:rsid w:val="00CF2597"/>
    <w:rsid w:val="00CF25CF"/>
    <w:rsid w:val="00CF2824"/>
    <w:rsid w:val="00CF2BDA"/>
    <w:rsid w:val="00CF34D7"/>
    <w:rsid w:val="00CF396E"/>
    <w:rsid w:val="00CF3CD9"/>
    <w:rsid w:val="00CF4788"/>
    <w:rsid w:val="00CF49DC"/>
    <w:rsid w:val="00CF5044"/>
    <w:rsid w:val="00CF560B"/>
    <w:rsid w:val="00CF6051"/>
    <w:rsid w:val="00CF6E8C"/>
    <w:rsid w:val="00CF736E"/>
    <w:rsid w:val="00CF7389"/>
    <w:rsid w:val="00CF75B9"/>
    <w:rsid w:val="00CF760E"/>
    <w:rsid w:val="00CF77B7"/>
    <w:rsid w:val="00D00265"/>
    <w:rsid w:val="00D00984"/>
    <w:rsid w:val="00D00F69"/>
    <w:rsid w:val="00D012CF"/>
    <w:rsid w:val="00D01399"/>
    <w:rsid w:val="00D01710"/>
    <w:rsid w:val="00D01C77"/>
    <w:rsid w:val="00D01DAF"/>
    <w:rsid w:val="00D020C8"/>
    <w:rsid w:val="00D02602"/>
    <w:rsid w:val="00D026BE"/>
    <w:rsid w:val="00D027AD"/>
    <w:rsid w:val="00D027DA"/>
    <w:rsid w:val="00D027DB"/>
    <w:rsid w:val="00D02CF3"/>
    <w:rsid w:val="00D030D6"/>
    <w:rsid w:val="00D03116"/>
    <w:rsid w:val="00D033FA"/>
    <w:rsid w:val="00D03D01"/>
    <w:rsid w:val="00D03D16"/>
    <w:rsid w:val="00D047A8"/>
    <w:rsid w:val="00D04E3B"/>
    <w:rsid w:val="00D06598"/>
    <w:rsid w:val="00D06624"/>
    <w:rsid w:val="00D06651"/>
    <w:rsid w:val="00D06B1C"/>
    <w:rsid w:val="00D07C40"/>
    <w:rsid w:val="00D07EEE"/>
    <w:rsid w:val="00D103EE"/>
    <w:rsid w:val="00D107EB"/>
    <w:rsid w:val="00D10886"/>
    <w:rsid w:val="00D11727"/>
    <w:rsid w:val="00D11BD6"/>
    <w:rsid w:val="00D11E08"/>
    <w:rsid w:val="00D11E58"/>
    <w:rsid w:val="00D12074"/>
    <w:rsid w:val="00D129B2"/>
    <w:rsid w:val="00D12CD5"/>
    <w:rsid w:val="00D131E0"/>
    <w:rsid w:val="00D13439"/>
    <w:rsid w:val="00D13789"/>
    <w:rsid w:val="00D138A2"/>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AA"/>
    <w:rsid w:val="00D17E16"/>
    <w:rsid w:val="00D17FCA"/>
    <w:rsid w:val="00D20553"/>
    <w:rsid w:val="00D20B4A"/>
    <w:rsid w:val="00D2172B"/>
    <w:rsid w:val="00D21B57"/>
    <w:rsid w:val="00D21C3E"/>
    <w:rsid w:val="00D21C6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FA1"/>
    <w:rsid w:val="00D33BA7"/>
    <w:rsid w:val="00D344E9"/>
    <w:rsid w:val="00D34634"/>
    <w:rsid w:val="00D34D40"/>
    <w:rsid w:val="00D34E59"/>
    <w:rsid w:val="00D3540A"/>
    <w:rsid w:val="00D35811"/>
    <w:rsid w:val="00D35976"/>
    <w:rsid w:val="00D35B27"/>
    <w:rsid w:val="00D35CD8"/>
    <w:rsid w:val="00D36047"/>
    <w:rsid w:val="00D364FC"/>
    <w:rsid w:val="00D36957"/>
    <w:rsid w:val="00D36B92"/>
    <w:rsid w:val="00D36DF5"/>
    <w:rsid w:val="00D37165"/>
    <w:rsid w:val="00D3716C"/>
    <w:rsid w:val="00D37480"/>
    <w:rsid w:val="00D37C79"/>
    <w:rsid w:val="00D37D92"/>
    <w:rsid w:val="00D37DEB"/>
    <w:rsid w:val="00D37F43"/>
    <w:rsid w:val="00D37F63"/>
    <w:rsid w:val="00D40339"/>
    <w:rsid w:val="00D4040F"/>
    <w:rsid w:val="00D40628"/>
    <w:rsid w:val="00D40BF9"/>
    <w:rsid w:val="00D40C80"/>
    <w:rsid w:val="00D410D4"/>
    <w:rsid w:val="00D41C9B"/>
    <w:rsid w:val="00D420A7"/>
    <w:rsid w:val="00D42627"/>
    <w:rsid w:val="00D431C6"/>
    <w:rsid w:val="00D436A9"/>
    <w:rsid w:val="00D43FE6"/>
    <w:rsid w:val="00D45016"/>
    <w:rsid w:val="00D459D0"/>
    <w:rsid w:val="00D45ADA"/>
    <w:rsid w:val="00D45CB0"/>
    <w:rsid w:val="00D45ED9"/>
    <w:rsid w:val="00D4635C"/>
    <w:rsid w:val="00D46EE2"/>
    <w:rsid w:val="00D47073"/>
    <w:rsid w:val="00D4727B"/>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41AD"/>
    <w:rsid w:val="00D542F4"/>
    <w:rsid w:val="00D546EF"/>
    <w:rsid w:val="00D54C50"/>
    <w:rsid w:val="00D55E5C"/>
    <w:rsid w:val="00D55EA0"/>
    <w:rsid w:val="00D568E3"/>
    <w:rsid w:val="00D56EE1"/>
    <w:rsid w:val="00D571EB"/>
    <w:rsid w:val="00D5737C"/>
    <w:rsid w:val="00D57718"/>
    <w:rsid w:val="00D577F6"/>
    <w:rsid w:val="00D57F48"/>
    <w:rsid w:val="00D6016F"/>
    <w:rsid w:val="00D601BD"/>
    <w:rsid w:val="00D6032D"/>
    <w:rsid w:val="00D603B0"/>
    <w:rsid w:val="00D604E7"/>
    <w:rsid w:val="00D6055A"/>
    <w:rsid w:val="00D61397"/>
    <w:rsid w:val="00D61461"/>
    <w:rsid w:val="00D61597"/>
    <w:rsid w:val="00D61A36"/>
    <w:rsid w:val="00D61C38"/>
    <w:rsid w:val="00D61F14"/>
    <w:rsid w:val="00D62418"/>
    <w:rsid w:val="00D62826"/>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6797E"/>
    <w:rsid w:val="00D67A08"/>
    <w:rsid w:val="00D7036D"/>
    <w:rsid w:val="00D70FEA"/>
    <w:rsid w:val="00D713F7"/>
    <w:rsid w:val="00D71B64"/>
    <w:rsid w:val="00D721A2"/>
    <w:rsid w:val="00D7234C"/>
    <w:rsid w:val="00D7275D"/>
    <w:rsid w:val="00D7299D"/>
    <w:rsid w:val="00D72AA4"/>
    <w:rsid w:val="00D72AAE"/>
    <w:rsid w:val="00D73021"/>
    <w:rsid w:val="00D733F5"/>
    <w:rsid w:val="00D734A5"/>
    <w:rsid w:val="00D73760"/>
    <w:rsid w:val="00D745E6"/>
    <w:rsid w:val="00D7468C"/>
    <w:rsid w:val="00D74C88"/>
    <w:rsid w:val="00D755D3"/>
    <w:rsid w:val="00D758C6"/>
    <w:rsid w:val="00D75D05"/>
    <w:rsid w:val="00D764E0"/>
    <w:rsid w:val="00D77263"/>
    <w:rsid w:val="00D77B14"/>
    <w:rsid w:val="00D77C9F"/>
    <w:rsid w:val="00D77E61"/>
    <w:rsid w:val="00D805A1"/>
    <w:rsid w:val="00D807FF"/>
    <w:rsid w:val="00D8114F"/>
    <w:rsid w:val="00D811CB"/>
    <w:rsid w:val="00D819CE"/>
    <w:rsid w:val="00D81B9E"/>
    <w:rsid w:val="00D81E71"/>
    <w:rsid w:val="00D82016"/>
    <w:rsid w:val="00D82725"/>
    <w:rsid w:val="00D82AFA"/>
    <w:rsid w:val="00D82D5C"/>
    <w:rsid w:val="00D83BE9"/>
    <w:rsid w:val="00D83BEC"/>
    <w:rsid w:val="00D84146"/>
    <w:rsid w:val="00D84627"/>
    <w:rsid w:val="00D848E7"/>
    <w:rsid w:val="00D84944"/>
    <w:rsid w:val="00D84F67"/>
    <w:rsid w:val="00D85E68"/>
    <w:rsid w:val="00D85E72"/>
    <w:rsid w:val="00D865AA"/>
    <w:rsid w:val="00D86E33"/>
    <w:rsid w:val="00D86E6D"/>
    <w:rsid w:val="00D8700B"/>
    <w:rsid w:val="00D87037"/>
    <w:rsid w:val="00D874A5"/>
    <w:rsid w:val="00D87B4D"/>
    <w:rsid w:val="00D90428"/>
    <w:rsid w:val="00D909B1"/>
    <w:rsid w:val="00D9187B"/>
    <w:rsid w:val="00D925A9"/>
    <w:rsid w:val="00D92935"/>
    <w:rsid w:val="00D92ED3"/>
    <w:rsid w:val="00D93762"/>
    <w:rsid w:val="00D937A6"/>
    <w:rsid w:val="00D9395A"/>
    <w:rsid w:val="00D93A46"/>
    <w:rsid w:val="00D93A6E"/>
    <w:rsid w:val="00D93AE0"/>
    <w:rsid w:val="00D93CA3"/>
    <w:rsid w:val="00D93D24"/>
    <w:rsid w:val="00D9400C"/>
    <w:rsid w:val="00D94591"/>
    <w:rsid w:val="00D95278"/>
    <w:rsid w:val="00D95C58"/>
    <w:rsid w:val="00D95DE0"/>
    <w:rsid w:val="00D95F0B"/>
    <w:rsid w:val="00D960E8"/>
    <w:rsid w:val="00D967A1"/>
    <w:rsid w:val="00D96E32"/>
    <w:rsid w:val="00D9722D"/>
    <w:rsid w:val="00D97435"/>
    <w:rsid w:val="00D9745C"/>
    <w:rsid w:val="00D9792F"/>
    <w:rsid w:val="00DA034B"/>
    <w:rsid w:val="00DA1B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1E4"/>
    <w:rsid w:val="00DA7720"/>
    <w:rsid w:val="00DA78BA"/>
    <w:rsid w:val="00DA7B2F"/>
    <w:rsid w:val="00DA7FA0"/>
    <w:rsid w:val="00DB03AF"/>
    <w:rsid w:val="00DB0F96"/>
    <w:rsid w:val="00DB13C7"/>
    <w:rsid w:val="00DB17DE"/>
    <w:rsid w:val="00DB1941"/>
    <w:rsid w:val="00DB1EAF"/>
    <w:rsid w:val="00DB2B71"/>
    <w:rsid w:val="00DB2BF7"/>
    <w:rsid w:val="00DB32D9"/>
    <w:rsid w:val="00DB355F"/>
    <w:rsid w:val="00DB3AC9"/>
    <w:rsid w:val="00DB3B7E"/>
    <w:rsid w:val="00DB40D3"/>
    <w:rsid w:val="00DB41BD"/>
    <w:rsid w:val="00DB42EF"/>
    <w:rsid w:val="00DB466B"/>
    <w:rsid w:val="00DB4B95"/>
    <w:rsid w:val="00DB4EBD"/>
    <w:rsid w:val="00DB5393"/>
    <w:rsid w:val="00DB55AD"/>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2207"/>
    <w:rsid w:val="00DD228D"/>
    <w:rsid w:val="00DD23AB"/>
    <w:rsid w:val="00DD28EC"/>
    <w:rsid w:val="00DD2DF5"/>
    <w:rsid w:val="00DD35FA"/>
    <w:rsid w:val="00DD373B"/>
    <w:rsid w:val="00DD3DB1"/>
    <w:rsid w:val="00DD42B3"/>
    <w:rsid w:val="00DD4E79"/>
    <w:rsid w:val="00DD5233"/>
    <w:rsid w:val="00DD524A"/>
    <w:rsid w:val="00DD5476"/>
    <w:rsid w:val="00DD5CC3"/>
    <w:rsid w:val="00DD5CC4"/>
    <w:rsid w:val="00DD5CE3"/>
    <w:rsid w:val="00DD5F38"/>
    <w:rsid w:val="00DD60CB"/>
    <w:rsid w:val="00DD6551"/>
    <w:rsid w:val="00DD7A34"/>
    <w:rsid w:val="00DD7B62"/>
    <w:rsid w:val="00DE00E4"/>
    <w:rsid w:val="00DE02DE"/>
    <w:rsid w:val="00DE072B"/>
    <w:rsid w:val="00DE0897"/>
    <w:rsid w:val="00DE0DC8"/>
    <w:rsid w:val="00DE11E7"/>
    <w:rsid w:val="00DE12DA"/>
    <w:rsid w:val="00DE1C18"/>
    <w:rsid w:val="00DE290E"/>
    <w:rsid w:val="00DE2E10"/>
    <w:rsid w:val="00DE2E7E"/>
    <w:rsid w:val="00DE3084"/>
    <w:rsid w:val="00DE3200"/>
    <w:rsid w:val="00DE37A1"/>
    <w:rsid w:val="00DE3A55"/>
    <w:rsid w:val="00DE3B95"/>
    <w:rsid w:val="00DE4E42"/>
    <w:rsid w:val="00DE525E"/>
    <w:rsid w:val="00DE5F33"/>
    <w:rsid w:val="00DE6135"/>
    <w:rsid w:val="00DE6357"/>
    <w:rsid w:val="00DE6A95"/>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4B7"/>
    <w:rsid w:val="00DF292B"/>
    <w:rsid w:val="00DF2DAA"/>
    <w:rsid w:val="00DF34E1"/>
    <w:rsid w:val="00DF4060"/>
    <w:rsid w:val="00DF4E48"/>
    <w:rsid w:val="00DF4E84"/>
    <w:rsid w:val="00DF579D"/>
    <w:rsid w:val="00DF5C8C"/>
    <w:rsid w:val="00DF6638"/>
    <w:rsid w:val="00DF69B6"/>
    <w:rsid w:val="00DF6DA4"/>
    <w:rsid w:val="00DF6DFE"/>
    <w:rsid w:val="00DF7296"/>
    <w:rsid w:val="00DF7A5D"/>
    <w:rsid w:val="00E00434"/>
    <w:rsid w:val="00E00B4F"/>
    <w:rsid w:val="00E010D6"/>
    <w:rsid w:val="00E0151B"/>
    <w:rsid w:val="00E019B8"/>
    <w:rsid w:val="00E01E77"/>
    <w:rsid w:val="00E0273B"/>
    <w:rsid w:val="00E02CEB"/>
    <w:rsid w:val="00E02F0C"/>
    <w:rsid w:val="00E036C3"/>
    <w:rsid w:val="00E039F7"/>
    <w:rsid w:val="00E03EA4"/>
    <w:rsid w:val="00E04063"/>
    <w:rsid w:val="00E040D9"/>
    <w:rsid w:val="00E0420F"/>
    <w:rsid w:val="00E045EC"/>
    <w:rsid w:val="00E04644"/>
    <w:rsid w:val="00E04B97"/>
    <w:rsid w:val="00E04D37"/>
    <w:rsid w:val="00E04DC9"/>
    <w:rsid w:val="00E04E20"/>
    <w:rsid w:val="00E04E2E"/>
    <w:rsid w:val="00E04F5D"/>
    <w:rsid w:val="00E05130"/>
    <w:rsid w:val="00E0561A"/>
    <w:rsid w:val="00E056F1"/>
    <w:rsid w:val="00E05A3E"/>
    <w:rsid w:val="00E05DC3"/>
    <w:rsid w:val="00E06582"/>
    <w:rsid w:val="00E06859"/>
    <w:rsid w:val="00E06AED"/>
    <w:rsid w:val="00E0735A"/>
    <w:rsid w:val="00E076D4"/>
    <w:rsid w:val="00E07954"/>
    <w:rsid w:val="00E079E5"/>
    <w:rsid w:val="00E07B26"/>
    <w:rsid w:val="00E07B8B"/>
    <w:rsid w:val="00E106AB"/>
    <w:rsid w:val="00E11081"/>
    <w:rsid w:val="00E11098"/>
    <w:rsid w:val="00E11240"/>
    <w:rsid w:val="00E11564"/>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FB0"/>
    <w:rsid w:val="00E153AA"/>
    <w:rsid w:val="00E1559B"/>
    <w:rsid w:val="00E15629"/>
    <w:rsid w:val="00E157BC"/>
    <w:rsid w:val="00E15DB0"/>
    <w:rsid w:val="00E15EE6"/>
    <w:rsid w:val="00E1602A"/>
    <w:rsid w:val="00E16424"/>
    <w:rsid w:val="00E165E6"/>
    <w:rsid w:val="00E16B76"/>
    <w:rsid w:val="00E16E96"/>
    <w:rsid w:val="00E171FD"/>
    <w:rsid w:val="00E172BA"/>
    <w:rsid w:val="00E1735D"/>
    <w:rsid w:val="00E17D93"/>
    <w:rsid w:val="00E20085"/>
    <w:rsid w:val="00E2062F"/>
    <w:rsid w:val="00E20D02"/>
    <w:rsid w:val="00E20D91"/>
    <w:rsid w:val="00E21410"/>
    <w:rsid w:val="00E215BE"/>
    <w:rsid w:val="00E21B06"/>
    <w:rsid w:val="00E21C8E"/>
    <w:rsid w:val="00E21F18"/>
    <w:rsid w:val="00E22206"/>
    <w:rsid w:val="00E223E2"/>
    <w:rsid w:val="00E22909"/>
    <w:rsid w:val="00E22A16"/>
    <w:rsid w:val="00E23B19"/>
    <w:rsid w:val="00E23C31"/>
    <w:rsid w:val="00E23F4B"/>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464"/>
    <w:rsid w:val="00E30D26"/>
    <w:rsid w:val="00E31F00"/>
    <w:rsid w:val="00E3204C"/>
    <w:rsid w:val="00E331BD"/>
    <w:rsid w:val="00E33D9C"/>
    <w:rsid w:val="00E342A7"/>
    <w:rsid w:val="00E34323"/>
    <w:rsid w:val="00E347B2"/>
    <w:rsid w:val="00E34F66"/>
    <w:rsid w:val="00E354BF"/>
    <w:rsid w:val="00E354E3"/>
    <w:rsid w:val="00E35A46"/>
    <w:rsid w:val="00E360EB"/>
    <w:rsid w:val="00E36351"/>
    <w:rsid w:val="00E363BF"/>
    <w:rsid w:val="00E36432"/>
    <w:rsid w:val="00E3673A"/>
    <w:rsid w:val="00E37514"/>
    <w:rsid w:val="00E37D23"/>
    <w:rsid w:val="00E40E46"/>
    <w:rsid w:val="00E41A9C"/>
    <w:rsid w:val="00E41C19"/>
    <w:rsid w:val="00E41E27"/>
    <w:rsid w:val="00E41F77"/>
    <w:rsid w:val="00E429F0"/>
    <w:rsid w:val="00E42A6C"/>
    <w:rsid w:val="00E42B58"/>
    <w:rsid w:val="00E42B90"/>
    <w:rsid w:val="00E4323D"/>
    <w:rsid w:val="00E432E4"/>
    <w:rsid w:val="00E440E7"/>
    <w:rsid w:val="00E446BC"/>
    <w:rsid w:val="00E45738"/>
    <w:rsid w:val="00E45CC8"/>
    <w:rsid w:val="00E45E82"/>
    <w:rsid w:val="00E4630F"/>
    <w:rsid w:val="00E465A5"/>
    <w:rsid w:val="00E46B43"/>
    <w:rsid w:val="00E47331"/>
    <w:rsid w:val="00E47957"/>
    <w:rsid w:val="00E47DFE"/>
    <w:rsid w:val="00E506EC"/>
    <w:rsid w:val="00E50AE1"/>
    <w:rsid w:val="00E513D1"/>
    <w:rsid w:val="00E51425"/>
    <w:rsid w:val="00E518F2"/>
    <w:rsid w:val="00E51BE5"/>
    <w:rsid w:val="00E51FBE"/>
    <w:rsid w:val="00E521A8"/>
    <w:rsid w:val="00E52531"/>
    <w:rsid w:val="00E5283B"/>
    <w:rsid w:val="00E5292F"/>
    <w:rsid w:val="00E529F4"/>
    <w:rsid w:val="00E52ED1"/>
    <w:rsid w:val="00E52F9A"/>
    <w:rsid w:val="00E531E4"/>
    <w:rsid w:val="00E5367F"/>
    <w:rsid w:val="00E5378F"/>
    <w:rsid w:val="00E54260"/>
    <w:rsid w:val="00E5480C"/>
    <w:rsid w:val="00E549D2"/>
    <w:rsid w:val="00E54E9F"/>
    <w:rsid w:val="00E5556D"/>
    <w:rsid w:val="00E55727"/>
    <w:rsid w:val="00E55A08"/>
    <w:rsid w:val="00E55ACB"/>
    <w:rsid w:val="00E56084"/>
    <w:rsid w:val="00E563C4"/>
    <w:rsid w:val="00E56CA6"/>
    <w:rsid w:val="00E575A5"/>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3CC"/>
    <w:rsid w:val="00E64F73"/>
    <w:rsid w:val="00E65CAF"/>
    <w:rsid w:val="00E6656C"/>
    <w:rsid w:val="00E66945"/>
    <w:rsid w:val="00E6758A"/>
    <w:rsid w:val="00E67711"/>
    <w:rsid w:val="00E67AE6"/>
    <w:rsid w:val="00E67E76"/>
    <w:rsid w:val="00E70038"/>
    <w:rsid w:val="00E70136"/>
    <w:rsid w:val="00E70C93"/>
    <w:rsid w:val="00E715F5"/>
    <w:rsid w:val="00E71B90"/>
    <w:rsid w:val="00E71BFA"/>
    <w:rsid w:val="00E720A6"/>
    <w:rsid w:val="00E72308"/>
    <w:rsid w:val="00E7249E"/>
    <w:rsid w:val="00E7276B"/>
    <w:rsid w:val="00E72C9A"/>
    <w:rsid w:val="00E737D0"/>
    <w:rsid w:val="00E73961"/>
    <w:rsid w:val="00E747DE"/>
    <w:rsid w:val="00E7491C"/>
    <w:rsid w:val="00E74D2C"/>
    <w:rsid w:val="00E754EB"/>
    <w:rsid w:val="00E757E2"/>
    <w:rsid w:val="00E759CD"/>
    <w:rsid w:val="00E75C5D"/>
    <w:rsid w:val="00E75C95"/>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A82"/>
    <w:rsid w:val="00E81E2D"/>
    <w:rsid w:val="00E83797"/>
    <w:rsid w:val="00E83DF5"/>
    <w:rsid w:val="00E83EDE"/>
    <w:rsid w:val="00E83F10"/>
    <w:rsid w:val="00E84574"/>
    <w:rsid w:val="00E85415"/>
    <w:rsid w:val="00E85575"/>
    <w:rsid w:val="00E855F8"/>
    <w:rsid w:val="00E85818"/>
    <w:rsid w:val="00E859D8"/>
    <w:rsid w:val="00E866EA"/>
    <w:rsid w:val="00E87877"/>
    <w:rsid w:val="00E87B27"/>
    <w:rsid w:val="00E903E8"/>
    <w:rsid w:val="00E90621"/>
    <w:rsid w:val="00E90910"/>
    <w:rsid w:val="00E90BFC"/>
    <w:rsid w:val="00E90C73"/>
    <w:rsid w:val="00E91099"/>
    <w:rsid w:val="00E917BC"/>
    <w:rsid w:val="00E917EB"/>
    <w:rsid w:val="00E92A5B"/>
    <w:rsid w:val="00E93719"/>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EA7"/>
    <w:rsid w:val="00EA2FBF"/>
    <w:rsid w:val="00EA373F"/>
    <w:rsid w:val="00EA3964"/>
    <w:rsid w:val="00EA3FF0"/>
    <w:rsid w:val="00EA40C3"/>
    <w:rsid w:val="00EA4628"/>
    <w:rsid w:val="00EA484B"/>
    <w:rsid w:val="00EA4F65"/>
    <w:rsid w:val="00EA58C0"/>
    <w:rsid w:val="00EA5C4A"/>
    <w:rsid w:val="00EA6634"/>
    <w:rsid w:val="00EA67BA"/>
    <w:rsid w:val="00EA702F"/>
    <w:rsid w:val="00EA744B"/>
    <w:rsid w:val="00EA74F0"/>
    <w:rsid w:val="00EA7D8A"/>
    <w:rsid w:val="00EB028F"/>
    <w:rsid w:val="00EB040F"/>
    <w:rsid w:val="00EB161E"/>
    <w:rsid w:val="00EB1FC2"/>
    <w:rsid w:val="00EB1FEB"/>
    <w:rsid w:val="00EB20AD"/>
    <w:rsid w:val="00EB2204"/>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BEF"/>
    <w:rsid w:val="00EC3D0C"/>
    <w:rsid w:val="00EC4692"/>
    <w:rsid w:val="00EC497D"/>
    <w:rsid w:val="00EC4B33"/>
    <w:rsid w:val="00EC5A74"/>
    <w:rsid w:val="00EC658B"/>
    <w:rsid w:val="00EC686A"/>
    <w:rsid w:val="00EC6D2A"/>
    <w:rsid w:val="00EC773A"/>
    <w:rsid w:val="00ED03D6"/>
    <w:rsid w:val="00ED0629"/>
    <w:rsid w:val="00ED106B"/>
    <w:rsid w:val="00ED113E"/>
    <w:rsid w:val="00ED1D25"/>
    <w:rsid w:val="00ED25B4"/>
    <w:rsid w:val="00ED277E"/>
    <w:rsid w:val="00ED27F7"/>
    <w:rsid w:val="00ED2946"/>
    <w:rsid w:val="00ED2C89"/>
    <w:rsid w:val="00ED2D02"/>
    <w:rsid w:val="00ED2D6A"/>
    <w:rsid w:val="00ED2DA0"/>
    <w:rsid w:val="00ED31AD"/>
    <w:rsid w:val="00ED3760"/>
    <w:rsid w:val="00ED3A33"/>
    <w:rsid w:val="00ED3D27"/>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88"/>
    <w:rsid w:val="00ED7C43"/>
    <w:rsid w:val="00ED7CEF"/>
    <w:rsid w:val="00ED7D31"/>
    <w:rsid w:val="00ED7EC7"/>
    <w:rsid w:val="00EE0A27"/>
    <w:rsid w:val="00EE0D1F"/>
    <w:rsid w:val="00EE0F38"/>
    <w:rsid w:val="00EE177C"/>
    <w:rsid w:val="00EE1CA5"/>
    <w:rsid w:val="00EE1F09"/>
    <w:rsid w:val="00EE2A1E"/>
    <w:rsid w:val="00EE31EB"/>
    <w:rsid w:val="00EE3648"/>
    <w:rsid w:val="00EE3DFB"/>
    <w:rsid w:val="00EE3EA1"/>
    <w:rsid w:val="00EE4ACC"/>
    <w:rsid w:val="00EE4EF4"/>
    <w:rsid w:val="00EE5618"/>
    <w:rsid w:val="00EE5ED2"/>
    <w:rsid w:val="00EE606A"/>
    <w:rsid w:val="00EE6787"/>
    <w:rsid w:val="00EE68AC"/>
    <w:rsid w:val="00EE6959"/>
    <w:rsid w:val="00EE6C4B"/>
    <w:rsid w:val="00EE7035"/>
    <w:rsid w:val="00EE78FA"/>
    <w:rsid w:val="00EE7A9A"/>
    <w:rsid w:val="00EE7B2B"/>
    <w:rsid w:val="00EE7B6D"/>
    <w:rsid w:val="00EF0092"/>
    <w:rsid w:val="00EF0439"/>
    <w:rsid w:val="00EF0B07"/>
    <w:rsid w:val="00EF0ED4"/>
    <w:rsid w:val="00EF1319"/>
    <w:rsid w:val="00EF160B"/>
    <w:rsid w:val="00EF1C85"/>
    <w:rsid w:val="00EF1CCA"/>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040"/>
    <w:rsid w:val="00F0015E"/>
    <w:rsid w:val="00F00382"/>
    <w:rsid w:val="00F00579"/>
    <w:rsid w:val="00F011FD"/>
    <w:rsid w:val="00F016E7"/>
    <w:rsid w:val="00F017B8"/>
    <w:rsid w:val="00F02638"/>
    <w:rsid w:val="00F026E9"/>
    <w:rsid w:val="00F02B4E"/>
    <w:rsid w:val="00F02C23"/>
    <w:rsid w:val="00F02C66"/>
    <w:rsid w:val="00F0303F"/>
    <w:rsid w:val="00F031AE"/>
    <w:rsid w:val="00F03340"/>
    <w:rsid w:val="00F03394"/>
    <w:rsid w:val="00F0420E"/>
    <w:rsid w:val="00F042BF"/>
    <w:rsid w:val="00F052FD"/>
    <w:rsid w:val="00F054EE"/>
    <w:rsid w:val="00F057CC"/>
    <w:rsid w:val="00F05838"/>
    <w:rsid w:val="00F059C3"/>
    <w:rsid w:val="00F05E0B"/>
    <w:rsid w:val="00F05ECF"/>
    <w:rsid w:val="00F062CA"/>
    <w:rsid w:val="00F064BD"/>
    <w:rsid w:val="00F064E3"/>
    <w:rsid w:val="00F06981"/>
    <w:rsid w:val="00F06E94"/>
    <w:rsid w:val="00F1018B"/>
    <w:rsid w:val="00F104A5"/>
    <w:rsid w:val="00F105BC"/>
    <w:rsid w:val="00F108D6"/>
    <w:rsid w:val="00F10B0F"/>
    <w:rsid w:val="00F10CD9"/>
    <w:rsid w:val="00F10FBD"/>
    <w:rsid w:val="00F11371"/>
    <w:rsid w:val="00F11433"/>
    <w:rsid w:val="00F114D3"/>
    <w:rsid w:val="00F12382"/>
    <w:rsid w:val="00F12568"/>
    <w:rsid w:val="00F132B6"/>
    <w:rsid w:val="00F1341A"/>
    <w:rsid w:val="00F136DC"/>
    <w:rsid w:val="00F13E60"/>
    <w:rsid w:val="00F13FA2"/>
    <w:rsid w:val="00F14950"/>
    <w:rsid w:val="00F1497A"/>
    <w:rsid w:val="00F14A25"/>
    <w:rsid w:val="00F14CE5"/>
    <w:rsid w:val="00F15103"/>
    <w:rsid w:val="00F15440"/>
    <w:rsid w:val="00F15A97"/>
    <w:rsid w:val="00F15AD2"/>
    <w:rsid w:val="00F15F5B"/>
    <w:rsid w:val="00F160B7"/>
    <w:rsid w:val="00F16DEE"/>
    <w:rsid w:val="00F1723B"/>
    <w:rsid w:val="00F17713"/>
    <w:rsid w:val="00F17798"/>
    <w:rsid w:val="00F17A0C"/>
    <w:rsid w:val="00F17D39"/>
    <w:rsid w:val="00F17E53"/>
    <w:rsid w:val="00F205F0"/>
    <w:rsid w:val="00F2062B"/>
    <w:rsid w:val="00F209A1"/>
    <w:rsid w:val="00F20C55"/>
    <w:rsid w:val="00F21B8D"/>
    <w:rsid w:val="00F21BED"/>
    <w:rsid w:val="00F21CC2"/>
    <w:rsid w:val="00F21EEC"/>
    <w:rsid w:val="00F21F02"/>
    <w:rsid w:val="00F21FD0"/>
    <w:rsid w:val="00F220D6"/>
    <w:rsid w:val="00F22783"/>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4FC3"/>
    <w:rsid w:val="00F2520D"/>
    <w:rsid w:val="00F258A7"/>
    <w:rsid w:val="00F25D47"/>
    <w:rsid w:val="00F26076"/>
    <w:rsid w:val="00F263AE"/>
    <w:rsid w:val="00F264F4"/>
    <w:rsid w:val="00F266ED"/>
    <w:rsid w:val="00F27617"/>
    <w:rsid w:val="00F27831"/>
    <w:rsid w:val="00F27BAB"/>
    <w:rsid w:val="00F27BDD"/>
    <w:rsid w:val="00F27C30"/>
    <w:rsid w:val="00F30084"/>
    <w:rsid w:val="00F30300"/>
    <w:rsid w:val="00F30E17"/>
    <w:rsid w:val="00F30EC5"/>
    <w:rsid w:val="00F31096"/>
    <w:rsid w:val="00F318A5"/>
    <w:rsid w:val="00F31924"/>
    <w:rsid w:val="00F31A5C"/>
    <w:rsid w:val="00F31F0B"/>
    <w:rsid w:val="00F320FD"/>
    <w:rsid w:val="00F3214F"/>
    <w:rsid w:val="00F32478"/>
    <w:rsid w:val="00F32CD8"/>
    <w:rsid w:val="00F32F5E"/>
    <w:rsid w:val="00F33687"/>
    <w:rsid w:val="00F337D8"/>
    <w:rsid w:val="00F33C94"/>
    <w:rsid w:val="00F33D64"/>
    <w:rsid w:val="00F34288"/>
    <w:rsid w:val="00F35626"/>
    <w:rsid w:val="00F359F7"/>
    <w:rsid w:val="00F36150"/>
    <w:rsid w:val="00F364D8"/>
    <w:rsid w:val="00F36544"/>
    <w:rsid w:val="00F36D90"/>
    <w:rsid w:val="00F370D0"/>
    <w:rsid w:val="00F37252"/>
    <w:rsid w:val="00F373B2"/>
    <w:rsid w:val="00F37432"/>
    <w:rsid w:val="00F374BF"/>
    <w:rsid w:val="00F375FC"/>
    <w:rsid w:val="00F37A7A"/>
    <w:rsid w:val="00F37B2B"/>
    <w:rsid w:val="00F37FF4"/>
    <w:rsid w:val="00F40C57"/>
    <w:rsid w:val="00F41BB5"/>
    <w:rsid w:val="00F41F1D"/>
    <w:rsid w:val="00F42427"/>
    <w:rsid w:val="00F42F0D"/>
    <w:rsid w:val="00F433CD"/>
    <w:rsid w:val="00F43516"/>
    <w:rsid w:val="00F436DF"/>
    <w:rsid w:val="00F43D65"/>
    <w:rsid w:val="00F441EA"/>
    <w:rsid w:val="00F44464"/>
    <w:rsid w:val="00F44A6E"/>
    <w:rsid w:val="00F4516D"/>
    <w:rsid w:val="00F458F9"/>
    <w:rsid w:val="00F45F76"/>
    <w:rsid w:val="00F46449"/>
    <w:rsid w:val="00F46520"/>
    <w:rsid w:val="00F467BC"/>
    <w:rsid w:val="00F467C4"/>
    <w:rsid w:val="00F46A80"/>
    <w:rsid w:val="00F46AE7"/>
    <w:rsid w:val="00F47169"/>
    <w:rsid w:val="00F47257"/>
    <w:rsid w:val="00F473AE"/>
    <w:rsid w:val="00F50730"/>
    <w:rsid w:val="00F50AC0"/>
    <w:rsid w:val="00F50DC8"/>
    <w:rsid w:val="00F51942"/>
    <w:rsid w:val="00F51D3E"/>
    <w:rsid w:val="00F51FD1"/>
    <w:rsid w:val="00F52140"/>
    <w:rsid w:val="00F52483"/>
    <w:rsid w:val="00F52640"/>
    <w:rsid w:val="00F52F81"/>
    <w:rsid w:val="00F53157"/>
    <w:rsid w:val="00F533F8"/>
    <w:rsid w:val="00F53439"/>
    <w:rsid w:val="00F53506"/>
    <w:rsid w:val="00F5380C"/>
    <w:rsid w:val="00F53A57"/>
    <w:rsid w:val="00F54363"/>
    <w:rsid w:val="00F54744"/>
    <w:rsid w:val="00F54832"/>
    <w:rsid w:val="00F548E1"/>
    <w:rsid w:val="00F54C8D"/>
    <w:rsid w:val="00F54D17"/>
    <w:rsid w:val="00F54FA3"/>
    <w:rsid w:val="00F554E0"/>
    <w:rsid w:val="00F5566D"/>
    <w:rsid w:val="00F55F79"/>
    <w:rsid w:val="00F55FF3"/>
    <w:rsid w:val="00F569CE"/>
    <w:rsid w:val="00F570F2"/>
    <w:rsid w:val="00F5713F"/>
    <w:rsid w:val="00F572E7"/>
    <w:rsid w:val="00F57388"/>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7292"/>
    <w:rsid w:val="00F672BA"/>
    <w:rsid w:val="00F67414"/>
    <w:rsid w:val="00F675B7"/>
    <w:rsid w:val="00F676A4"/>
    <w:rsid w:val="00F67A8E"/>
    <w:rsid w:val="00F67B35"/>
    <w:rsid w:val="00F704D7"/>
    <w:rsid w:val="00F7052A"/>
    <w:rsid w:val="00F7080B"/>
    <w:rsid w:val="00F70966"/>
    <w:rsid w:val="00F70C28"/>
    <w:rsid w:val="00F70E0B"/>
    <w:rsid w:val="00F70E2E"/>
    <w:rsid w:val="00F71780"/>
    <w:rsid w:val="00F72867"/>
    <w:rsid w:val="00F72B30"/>
    <w:rsid w:val="00F72CE7"/>
    <w:rsid w:val="00F73006"/>
    <w:rsid w:val="00F73734"/>
    <w:rsid w:val="00F7377C"/>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7F8"/>
    <w:rsid w:val="00F81BE0"/>
    <w:rsid w:val="00F82279"/>
    <w:rsid w:val="00F82756"/>
    <w:rsid w:val="00F82816"/>
    <w:rsid w:val="00F83005"/>
    <w:rsid w:val="00F8359C"/>
    <w:rsid w:val="00F83FF0"/>
    <w:rsid w:val="00F844D1"/>
    <w:rsid w:val="00F84704"/>
    <w:rsid w:val="00F847BC"/>
    <w:rsid w:val="00F84BE0"/>
    <w:rsid w:val="00F8532A"/>
    <w:rsid w:val="00F85FE3"/>
    <w:rsid w:val="00F86253"/>
    <w:rsid w:val="00F86823"/>
    <w:rsid w:val="00F868BF"/>
    <w:rsid w:val="00F86B59"/>
    <w:rsid w:val="00F8703B"/>
    <w:rsid w:val="00F87060"/>
    <w:rsid w:val="00F8764A"/>
    <w:rsid w:val="00F876A5"/>
    <w:rsid w:val="00F8790C"/>
    <w:rsid w:val="00F9013A"/>
    <w:rsid w:val="00F901BE"/>
    <w:rsid w:val="00F902CC"/>
    <w:rsid w:val="00F9055F"/>
    <w:rsid w:val="00F9059B"/>
    <w:rsid w:val="00F90629"/>
    <w:rsid w:val="00F90703"/>
    <w:rsid w:val="00F907D1"/>
    <w:rsid w:val="00F90D39"/>
    <w:rsid w:val="00F9100B"/>
    <w:rsid w:val="00F91280"/>
    <w:rsid w:val="00F91844"/>
    <w:rsid w:val="00F92553"/>
    <w:rsid w:val="00F92C1F"/>
    <w:rsid w:val="00F92EE2"/>
    <w:rsid w:val="00F93F1F"/>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C9"/>
    <w:rsid w:val="00FA41FD"/>
    <w:rsid w:val="00FA47C7"/>
    <w:rsid w:val="00FA4BF5"/>
    <w:rsid w:val="00FA4C0C"/>
    <w:rsid w:val="00FA561D"/>
    <w:rsid w:val="00FA5724"/>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5EF"/>
    <w:rsid w:val="00FB2803"/>
    <w:rsid w:val="00FB3050"/>
    <w:rsid w:val="00FB3058"/>
    <w:rsid w:val="00FB361D"/>
    <w:rsid w:val="00FB364E"/>
    <w:rsid w:val="00FB3A33"/>
    <w:rsid w:val="00FB3D86"/>
    <w:rsid w:val="00FB49BE"/>
    <w:rsid w:val="00FB4B03"/>
    <w:rsid w:val="00FB4E76"/>
    <w:rsid w:val="00FB4FF4"/>
    <w:rsid w:val="00FB5288"/>
    <w:rsid w:val="00FB5576"/>
    <w:rsid w:val="00FB55F3"/>
    <w:rsid w:val="00FB58C9"/>
    <w:rsid w:val="00FB5D9D"/>
    <w:rsid w:val="00FB5F7C"/>
    <w:rsid w:val="00FB6C54"/>
    <w:rsid w:val="00FB708E"/>
    <w:rsid w:val="00FB71E8"/>
    <w:rsid w:val="00FB71F3"/>
    <w:rsid w:val="00FB7811"/>
    <w:rsid w:val="00FB7A66"/>
    <w:rsid w:val="00FB7BC1"/>
    <w:rsid w:val="00FC0256"/>
    <w:rsid w:val="00FC08B4"/>
    <w:rsid w:val="00FC0A88"/>
    <w:rsid w:val="00FC16B8"/>
    <w:rsid w:val="00FC16C7"/>
    <w:rsid w:val="00FC1D00"/>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6F"/>
    <w:rsid w:val="00FC6D8E"/>
    <w:rsid w:val="00FC714E"/>
    <w:rsid w:val="00FD00B0"/>
    <w:rsid w:val="00FD02DB"/>
    <w:rsid w:val="00FD0698"/>
    <w:rsid w:val="00FD13BF"/>
    <w:rsid w:val="00FD18A3"/>
    <w:rsid w:val="00FD1E52"/>
    <w:rsid w:val="00FD1FB9"/>
    <w:rsid w:val="00FD20C6"/>
    <w:rsid w:val="00FD210C"/>
    <w:rsid w:val="00FD23CE"/>
    <w:rsid w:val="00FD335C"/>
    <w:rsid w:val="00FD34AD"/>
    <w:rsid w:val="00FD34C0"/>
    <w:rsid w:val="00FD3CD8"/>
    <w:rsid w:val="00FD4032"/>
    <w:rsid w:val="00FD4101"/>
    <w:rsid w:val="00FD4202"/>
    <w:rsid w:val="00FD423F"/>
    <w:rsid w:val="00FD47C4"/>
    <w:rsid w:val="00FD4F6E"/>
    <w:rsid w:val="00FD5130"/>
    <w:rsid w:val="00FD515D"/>
    <w:rsid w:val="00FD51D9"/>
    <w:rsid w:val="00FD5A05"/>
    <w:rsid w:val="00FD6406"/>
    <w:rsid w:val="00FD6DBB"/>
    <w:rsid w:val="00FD7084"/>
    <w:rsid w:val="00FD784B"/>
    <w:rsid w:val="00FD7C47"/>
    <w:rsid w:val="00FE00CA"/>
    <w:rsid w:val="00FE0348"/>
    <w:rsid w:val="00FE036A"/>
    <w:rsid w:val="00FE06B3"/>
    <w:rsid w:val="00FE1170"/>
    <w:rsid w:val="00FE2167"/>
    <w:rsid w:val="00FE234D"/>
    <w:rsid w:val="00FE253F"/>
    <w:rsid w:val="00FE2826"/>
    <w:rsid w:val="00FE2A44"/>
    <w:rsid w:val="00FE2BB4"/>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667"/>
    <w:rsid w:val="00FE6A17"/>
    <w:rsid w:val="00FE6DD3"/>
    <w:rsid w:val="00FE6E19"/>
    <w:rsid w:val="00FE6EC3"/>
    <w:rsid w:val="00FE6ED5"/>
    <w:rsid w:val="00FE6FF0"/>
    <w:rsid w:val="00FE7061"/>
    <w:rsid w:val="00FE70B2"/>
    <w:rsid w:val="00FE7768"/>
    <w:rsid w:val="00FF0388"/>
    <w:rsid w:val="00FF0CAA"/>
    <w:rsid w:val="00FF0E3A"/>
    <w:rsid w:val="00FF150A"/>
    <w:rsid w:val="00FF1554"/>
    <w:rsid w:val="00FF1565"/>
    <w:rsid w:val="00FF16DE"/>
    <w:rsid w:val="00FF2475"/>
    <w:rsid w:val="00FF2A3F"/>
    <w:rsid w:val="00FF3485"/>
    <w:rsid w:val="00FF37D5"/>
    <w:rsid w:val="00FF38DB"/>
    <w:rsid w:val="00FF3B33"/>
    <w:rsid w:val="00FF3BD2"/>
    <w:rsid w:val="00FF42DF"/>
    <w:rsid w:val="00FF44A8"/>
    <w:rsid w:val="00FF494B"/>
    <w:rsid w:val="00FF4BCA"/>
    <w:rsid w:val="00FF51D2"/>
    <w:rsid w:val="00FF587B"/>
    <w:rsid w:val="00FF59D5"/>
    <w:rsid w:val="00FF5A4E"/>
    <w:rsid w:val="00FF5ACD"/>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5F0C134"/>
  <w15:docId w15:val="{2D9A4662-9672-4367-9B99-A641645C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
    <w:uiPriority w:val="99"/>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E37514"/>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E37514"/>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785E13"/>
    <w:pPr>
      <w:keepNext/>
      <w:keepLines/>
      <w:numPr>
        <w:numId w:val="30"/>
      </w:numPr>
      <w:tabs>
        <w:tab w:val="left" w:pos="284"/>
        <w:tab w:val="left" w:pos="1560"/>
      </w:tabs>
      <w:autoSpaceDE w:val="0"/>
      <w:autoSpaceDN w:val="0"/>
      <w:adjustRightInd w:val="0"/>
      <w:spacing w:after="120" w:line="276" w:lineRule="auto"/>
      <w:jc w:val="both"/>
    </w:pPr>
    <w:rPr>
      <w:rFonts w:ascii="GHEA Grapalat" w:eastAsia="GHEA Grapalat" w:hAnsi="GHEA Grapalat" w:cs="GHEA Grapalat"/>
      <w:noProof/>
      <w:sz w:val="22"/>
      <w:szCs w:val="22"/>
      <w:lang w:val="hy-AM"/>
    </w:rPr>
  </w:style>
  <w:style w:type="character" w:customStyle="1" w:styleId="Char0">
    <w:name w:val="Գծապատկեր Char"/>
    <w:link w:val="a"/>
    <w:rsid w:val="00785E13"/>
    <w:rPr>
      <w:rFonts w:ascii="GHEA Grapalat" w:eastAsia="GHEA Grapalat" w:hAnsi="GHEA Grapalat" w:cs="GHEA Grapalat"/>
      <w:noProof/>
      <w:sz w:val="22"/>
      <w:szCs w:val="22"/>
      <w:lang w:val="hy-AM"/>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12"/>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
    <w:basedOn w:val="Normal"/>
    <w:link w:val="FootnoteReference"/>
    <w:uiPriority w:val="99"/>
    <w:rsid w:val="00563135"/>
    <w:pPr>
      <w:spacing w:after="160" w:line="240" w:lineRule="exact"/>
    </w:pPr>
    <w:rPr>
      <w:rFonts w:ascii="Times New Roman" w:hAnsi="Times New Roman"/>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6207699">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tats.gov.cn/english/PressRelease/202110/t20211019_1823616.html" TargetMode="External"/><Relationship Id="rId7" Type="http://schemas.openxmlformats.org/officeDocument/2006/relationships/hyperlink" Target="https://www.fao.org/worldfoodsituation/foodpricesindex/en/" TargetMode="External"/><Relationship Id="rId2" Type="http://schemas.openxmlformats.org/officeDocument/2006/relationships/hyperlink" Target="https://ec.europa.eu/eurostat/documents/2995521/14497760/2-29042022-BP-EN.pdf" TargetMode="External"/><Relationship Id="rId1" Type="http://schemas.openxmlformats.org/officeDocument/2006/relationships/hyperlink" Target="https://ec.europa.eu/eurostat/documents/2995521/11563347/2-29102021-BP-EN.pdf/e8d47562-a783-9b7c-c1f6-0241602abbd9" TargetMode="External"/><Relationship Id="rId6" Type="http://schemas.openxmlformats.org/officeDocument/2006/relationships/hyperlink" Target="https://www.worldbank.org/en/research/commodity-markets" TargetMode="External"/><Relationship Id="rId5" Type="http://schemas.openxmlformats.org/officeDocument/2006/relationships/hyperlink" Target="file:///C:\Users\Greta.Adamyan\Downloads\&#1379;&#1398;&#1377;&#1392;&#1377;&#1407;" TargetMode="External"/><Relationship Id="rId4" Type="http://schemas.openxmlformats.org/officeDocument/2006/relationships/hyperlink" Target="http://www.stats.gov.cn/english/PressRelease/202204/t20220418_1829688.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oleObject" Target="file:///\\172.20.215.254\Share\macroeconomic\Narek\2022\8\Book8.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16.700000000000003</c:v>
                </c:pt>
                <c:pt idx="1">
                  <c:v>9.1989411749134007</c:v>
                </c:pt>
                <c:pt idx="2">
                  <c:v>3.4223280070287672</c:v>
                </c:pt>
                <c:pt idx="3">
                  <c:v>2.9581901247383939</c:v>
                </c:pt>
                <c:pt idx="4">
                  <c:v>2.7513691591177576</c:v>
                </c:pt>
                <c:pt idx="5">
                  <c:v>5.7999999999999972</c:v>
                </c:pt>
              </c:numCache>
            </c:numRef>
          </c:val>
          <c:extLst>
            <c:ext xmlns:c16="http://schemas.microsoft.com/office/drawing/2014/chart" uri="{C3380CC4-5D6E-409C-BE32-E72D297353CC}">
              <c16:uniqueId val="{00000000-F8BE-4DAA-8664-CDB30506C27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-5.4000000000000057</c:v>
                </c:pt>
                <c:pt idx="5" formatCode="0.0">
                  <c:v>-5.5</c:v>
                </c:pt>
              </c:numCache>
            </c:numRef>
          </c:val>
          <c:extLst>
            <c:ext xmlns:c16="http://schemas.microsoft.com/office/drawing/2014/chart" uri="{C3380CC4-5D6E-409C-BE32-E72D297353CC}">
              <c16:uniqueId val="{00000001-F8BE-4DAA-8664-CDB30506C278}"/>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3</c:v>
                </c:pt>
                <c:pt idx="1">
                  <c:v>4.9000000000000057</c:v>
                </c:pt>
                <c:pt idx="2">
                  <c:v>6.2000000000000028</c:v>
                </c:pt>
                <c:pt idx="3">
                  <c:v>9</c:v>
                </c:pt>
                <c:pt idx="4">
                  <c:v>11.400000000000006</c:v>
                </c:pt>
                <c:pt idx="5">
                  <c:v>12.700000000000003</c:v>
                </c:pt>
              </c:numCache>
            </c:numRef>
          </c:val>
          <c:extLst>
            <c:ext xmlns:c16="http://schemas.microsoft.com/office/drawing/2014/chart" uri="{C3380CC4-5D6E-409C-BE32-E72D297353CC}">
              <c16:uniqueId val="{00000002-F8BE-4DAA-8664-CDB30506C278}"/>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21.200000000000003</c:v>
                </c:pt>
                <c:pt idx="1">
                  <c:v>20.099999999999994</c:v>
                </c:pt>
                <c:pt idx="2">
                  <c:v>22.200000000000003</c:v>
                </c:pt>
                <c:pt idx="3">
                  <c:v>23.5</c:v>
                </c:pt>
                <c:pt idx="4">
                  <c:v>24.900000000000006</c:v>
                </c:pt>
                <c:pt idx="5">
                  <c:v>26.900000000000006</c:v>
                </c:pt>
              </c:numCache>
            </c:numRef>
          </c:val>
          <c:extLst>
            <c:ext xmlns:c16="http://schemas.microsoft.com/office/drawing/2014/chart" uri="{C3380CC4-5D6E-409C-BE32-E72D297353CC}">
              <c16:uniqueId val="{00000003-F8BE-4DAA-8664-CDB30506C278}"/>
            </c:ext>
          </c:extLst>
        </c:ser>
        <c:ser>
          <c:idx val="5"/>
          <c:order val="5"/>
          <c:tx>
            <c:strRef>
              <c:f>Sheet1!$A$7</c:f>
              <c:strCache>
                <c:ptCount val="1"/>
                <c:pt idx="0">
                  <c:v>առևտուր</c:v>
                </c:pt>
              </c:strCache>
            </c:strRef>
          </c:tx>
          <c:spPr>
            <a:solidFill>
              <a:srgbClr val="F7964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11.5</c:v>
                </c:pt>
                <c:pt idx="1">
                  <c:v>8.2000000000000028</c:v>
                </c:pt>
                <c:pt idx="2">
                  <c:v>7.5999999999999943</c:v>
                </c:pt>
                <c:pt idx="3">
                  <c:v>7.7999999999999972</c:v>
                </c:pt>
                <c:pt idx="4">
                  <c:v>8.9000000000000057</c:v>
                </c:pt>
                <c:pt idx="5">
                  <c:v>10.700000000000003</c:v>
                </c:pt>
              </c:numCache>
            </c:numRef>
          </c:val>
          <c:extLst>
            <c:ext xmlns:c16="http://schemas.microsoft.com/office/drawing/2014/chart" uri="{C3380CC4-5D6E-409C-BE32-E72D297353CC}">
              <c16:uniqueId val="{00000004-F8BE-4DAA-8664-CDB30506C278}"/>
            </c:ext>
          </c:extLst>
        </c:ser>
        <c:dLbls>
          <c:showLegendKey val="0"/>
          <c:showVal val="0"/>
          <c:showCatName val="0"/>
          <c:showSerName val="0"/>
          <c:showPercent val="0"/>
          <c:showBubbleSize val="0"/>
        </c:dLbls>
        <c:gapWidth val="150"/>
        <c:axId val="273429632"/>
        <c:axId val="273431168"/>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BE-4DAA-8664-CDB30506C278}"/>
                </c:ext>
              </c:extLst>
            </c:dLbl>
            <c:dLbl>
              <c:idx val="1"/>
              <c:layout>
                <c:manualLayout>
                  <c:x val="-9.0897729163879379E-2"/>
                  <c:y val="3.6835528937815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8BE-4DAA-8664-CDB30506C278}"/>
                </c:ext>
              </c:extLst>
            </c:dLbl>
            <c:dLbl>
              <c:idx val="2"/>
              <c:layout>
                <c:manualLayout>
                  <c:x val="-7.8425588430124232E-2"/>
                  <c:y val="3.9773473938192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8BE-4DAA-8664-CDB30506C278}"/>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8BE-4DAA-8664-CDB30506C278}"/>
                </c:ext>
              </c:extLst>
            </c:dLbl>
            <c:dLbl>
              <c:idx val="4"/>
              <c:layout>
                <c:manualLayout>
                  <c:x val="-5.3560275541603718E-2"/>
                  <c:y val="3.216390016911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8BE-4DAA-8664-CDB30506C278}"/>
                </c:ext>
              </c:extLst>
            </c:dLbl>
            <c:dLbl>
              <c:idx val="5"/>
              <c:layout>
                <c:manualLayout>
                  <c:x val="-5.3874844591794521E-2"/>
                  <c:y val="4.43869362430927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8BE-4DAA-8664-CDB30506C278}"/>
                </c:ext>
              </c:extLst>
            </c:dLbl>
            <c:dLbl>
              <c:idx val="6"/>
              <c:layout>
                <c:manualLayout>
                  <c:x val="-5.8019063406547791E-2"/>
                  <c:y val="4.322252981031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BE-4DAA-8664-CDB30506C278}"/>
                </c:ext>
              </c:extLst>
            </c:dLbl>
            <c:dLbl>
              <c:idx val="7"/>
              <c:layout>
                <c:manualLayout>
                  <c:x val="-5.8019063406547867E-2"/>
                  <c:y val="4.2640326593922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BE-4DAA-8664-CDB30506C278}"/>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BE-4DAA-8664-CDB30506C278}"/>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BE-4DAA-8664-CDB30506C278}"/>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14.799999999999997</c:v>
                </c:pt>
                <c:pt idx="1">
                  <c:v>11.365324375325002</c:v>
                </c:pt>
                <c:pt idx="2">
                  <c:v>9.6878250347076147</c:v>
                </c:pt>
                <c:pt idx="3">
                  <c:v>9.4435765420402191</c:v>
                </c:pt>
                <c:pt idx="4">
                  <c:v>10.200000000000003</c:v>
                </c:pt>
                <c:pt idx="5">
                  <c:v>11.799999999999997</c:v>
                </c:pt>
              </c:numCache>
            </c:numRef>
          </c:val>
          <c:smooth val="0"/>
          <c:extLst>
            <c:ext xmlns:c16="http://schemas.microsoft.com/office/drawing/2014/chart" uri="{C3380CC4-5D6E-409C-BE32-E72D297353CC}">
              <c16:uniqueId val="{0000000F-F8BE-4DAA-8664-CDB30506C278}"/>
            </c:ext>
          </c:extLst>
        </c:ser>
        <c:dLbls>
          <c:showLegendKey val="0"/>
          <c:showVal val="0"/>
          <c:showCatName val="0"/>
          <c:showSerName val="0"/>
          <c:showPercent val="0"/>
          <c:showBubbleSize val="0"/>
        </c:dLbls>
        <c:marker val="1"/>
        <c:smooth val="0"/>
        <c:axId val="273442688"/>
        <c:axId val="273441152"/>
      </c:lineChart>
      <c:catAx>
        <c:axId val="273429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431168"/>
        <c:crosses val="autoZero"/>
        <c:auto val="1"/>
        <c:lblAlgn val="ctr"/>
        <c:lblOffset val="100"/>
        <c:noMultiLvlLbl val="0"/>
      </c:catAx>
      <c:valAx>
        <c:axId val="273431168"/>
        <c:scaling>
          <c:orientation val="minMax"/>
          <c:max val="3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429632"/>
        <c:crosses val="autoZero"/>
        <c:crossBetween val="between"/>
        <c:majorUnit val="6"/>
      </c:valAx>
      <c:valAx>
        <c:axId val="273441152"/>
        <c:scaling>
          <c:orientation val="minMax"/>
          <c:max val="16"/>
          <c:min val="0"/>
        </c:scaling>
        <c:delete val="0"/>
        <c:axPos val="r"/>
        <c:numFmt formatCode="0.0" sourceLinked="1"/>
        <c:majorTickMark val="out"/>
        <c:minorTickMark val="none"/>
        <c:tickLblPos val="nextTo"/>
        <c:crossAx val="273442688"/>
        <c:crosses val="max"/>
        <c:crossBetween val="between"/>
      </c:valAx>
      <c:catAx>
        <c:axId val="273442688"/>
        <c:scaling>
          <c:orientation val="minMax"/>
        </c:scaling>
        <c:delete val="1"/>
        <c:axPos val="b"/>
        <c:numFmt formatCode="General" sourceLinked="1"/>
        <c:majorTickMark val="out"/>
        <c:minorTickMark val="none"/>
        <c:tickLblPos val="nextTo"/>
        <c:crossAx val="27344115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54065215911414"/>
          <c:y val="0.13845041486275581"/>
          <c:w val="0.81581042935670778"/>
          <c:h val="0.6387241978291347"/>
        </c:manualLayout>
      </c:layout>
      <c:lineChart>
        <c:grouping val="standard"/>
        <c:varyColors val="0"/>
        <c:ser>
          <c:idx val="0"/>
          <c:order val="0"/>
          <c:tx>
            <c:strRef>
              <c:f>Sheet1!$A$4</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8E6-4B44-8F2B-045EF611F983}"/>
                </c:ext>
              </c:extLst>
            </c:dLbl>
            <c:dLbl>
              <c:idx val="1"/>
              <c:layout>
                <c:manualLayout>
                  <c:x val="-6.1939534215283608E-2"/>
                  <c:y val="-7.39985539321582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8E6-4B44-8F2B-045EF611F983}"/>
                </c:ext>
              </c:extLst>
            </c:dLbl>
            <c:dLbl>
              <c:idx val="2"/>
              <c:layout>
                <c:manualLayout>
                  <c:x val="-6.1338338710759527E-2"/>
                  <c:y val="-5.16368155042834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8E6-4B44-8F2B-045EF611F983}"/>
                </c:ext>
              </c:extLst>
            </c:dLbl>
            <c:dLbl>
              <c:idx val="3"/>
              <c:layout>
                <c:manualLayout>
                  <c:x val="-7.3202780488173844E-2"/>
                  <c:y val="-0.1024261315039987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8E6-4B44-8F2B-045EF611F983}"/>
                </c:ext>
              </c:extLst>
            </c:dLbl>
            <c:dLbl>
              <c:idx val="4"/>
              <c:layout>
                <c:manualLayout>
                  <c:x val="-8.3588009712042485E-2"/>
                  <c:y val="-8.98823747255557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8E6-4B44-8F2B-045EF611F983}"/>
                </c:ext>
              </c:extLst>
            </c:dLbl>
            <c:dLbl>
              <c:idx val="5"/>
              <c:layout>
                <c:manualLayout>
                  <c:x val="-9.999652060783483E-2"/>
                  <c:y val="-6.2872649037571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8E6-4B44-8F2B-045EF611F983}"/>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E6-4B44-8F2B-045EF611F983}"/>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E6-4B44-8F2B-045EF611F983}"/>
                </c:ext>
              </c:extLst>
            </c:dLbl>
            <c:dLbl>
              <c:idx val="8"/>
              <c:layout>
                <c:manualLayout>
                  <c:x val="-5.6255298645376532E-2"/>
                  <c:y val="-3.572055010574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E6-4B44-8F2B-045EF611F983}"/>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Sheet1!$B$3:$G$3</c:f>
              <c:strCache>
                <c:ptCount val="6"/>
                <c:pt idx="0">
                  <c:v>հունվար</c:v>
                </c:pt>
                <c:pt idx="1">
                  <c:v>փետրվար</c:v>
                </c:pt>
                <c:pt idx="2">
                  <c:v>մարտ</c:v>
                </c:pt>
                <c:pt idx="3">
                  <c:v>ապրիլ</c:v>
                </c:pt>
                <c:pt idx="4">
                  <c:v>մայիս</c:v>
                </c:pt>
                <c:pt idx="5">
                  <c:v>հունիս</c:v>
                </c:pt>
              </c:strCache>
            </c:strRef>
          </c:cat>
          <c:val>
            <c:numRef>
              <c:f>Sheet1!$B$4:$G$4</c:f>
              <c:numCache>
                <c:formatCode>0.0</c:formatCode>
                <c:ptCount val="6"/>
                <c:pt idx="0">
                  <c:v>36.434638452185482</c:v>
                </c:pt>
                <c:pt idx="1">
                  <c:v>28.660691795381638</c:v>
                </c:pt>
                <c:pt idx="2">
                  <c:v>18.399399758147879</c:v>
                </c:pt>
                <c:pt idx="3">
                  <c:v>15.667838183136226</c:v>
                </c:pt>
                <c:pt idx="4">
                  <c:v>18.875629514326278</c:v>
                </c:pt>
                <c:pt idx="5">
                  <c:v>27.991845751072034</c:v>
                </c:pt>
              </c:numCache>
            </c:numRef>
          </c:val>
          <c:smooth val="0"/>
          <c:extLst>
            <c:ext xmlns:c16="http://schemas.microsoft.com/office/drawing/2014/chart" uri="{C3380CC4-5D6E-409C-BE32-E72D297353CC}">
              <c16:uniqueId val="{00000009-88E6-4B44-8F2B-045EF611F983}"/>
            </c:ext>
          </c:extLst>
        </c:ser>
        <c:ser>
          <c:idx val="1"/>
          <c:order val="1"/>
          <c:tx>
            <c:strRef>
              <c:f>Sheet1!$A$5</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6.4716694274887104E-2"/>
                  <c:y val="2.49861124582271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9F9-46D0-99D2-6859F7A1832C}"/>
                </c:ext>
              </c:extLst>
            </c:dLbl>
            <c:dLbl>
              <c:idx val="1"/>
              <c:layout>
                <c:manualLayout>
                  <c:x val="-7.6244071796500903E-2"/>
                  <c:y val="4.17834248882383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9F9-46D0-99D2-6859F7A1832C}"/>
                </c:ext>
              </c:extLst>
            </c:dLbl>
            <c:dLbl>
              <c:idx val="2"/>
              <c:layout>
                <c:manualLayout>
                  <c:x val="-7.7358384956923612E-2"/>
                  <c:y val="4.17834248882383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9F9-46D0-99D2-6859F7A1832C}"/>
                </c:ext>
              </c:extLst>
            </c:dLbl>
            <c:dLbl>
              <c:idx val="3"/>
              <c:layout>
                <c:manualLayout>
                  <c:x val="-7.3189165475353118E-2"/>
                  <c:y val="5.85807373182495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9F9-46D0-99D2-6859F7A1832C}"/>
                </c:ext>
              </c:extLst>
            </c:dLbl>
            <c:dLbl>
              <c:idx val="4"/>
              <c:layout>
                <c:manualLayout>
                  <c:x val="-7.3266014658830467E-2"/>
                  <c:y val="5.29816331749124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9F9-46D0-99D2-6859F7A1832C}"/>
                </c:ext>
              </c:extLst>
            </c:dLbl>
            <c:dLbl>
              <c:idx val="5"/>
              <c:layout>
                <c:manualLayout>
                  <c:x val="-5.9980636426210411E-2"/>
                  <c:y val="4.7866609059085977E-2"/>
                </c:manualLayout>
              </c:layout>
              <c:spPr>
                <a:noFill/>
                <a:ln>
                  <a:noFill/>
                </a:ln>
                <a:effectLst/>
              </c:spPr>
              <c:txPr>
                <a:bodyPr wrap="square" lIns="38100" tIns="19050" rIns="38100" bIns="19050" anchor="ctr">
                  <a:noAutofit/>
                </a:bodyPr>
                <a:lstStyle/>
                <a:p>
                  <a:pPr>
                    <a:defRPr sz="900" i="1"/>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4207341517468795E-2"/>
                      <c:h val="9.5604923684651399E-2"/>
                    </c:manualLayout>
                  </c15:layout>
                </c:ext>
                <c:ext xmlns:c16="http://schemas.microsoft.com/office/drawing/2014/chart" uri="{C3380CC4-5D6E-409C-BE32-E72D297353CC}">
                  <c16:uniqueId val="{0000000A-88E6-4B44-8F2B-045EF611F983}"/>
                </c:ext>
              </c:extLst>
            </c:dLbl>
            <c:spPr>
              <a:noFill/>
              <a:ln>
                <a:noFill/>
              </a:ln>
              <a:effectLst/>
            </c:spPr>
            <c:txPr>
              <a:bodyPr wrap="square" lIns="38100" tIns="19050" rIns="38100" bIns="19050" anchor="ctr">
                <a:spAutoFit/>
              </a:bodyPr>
              <a:lstStyle/>
              <a:p>
                <a:pPr>
                  <a:defRPr sz="900" i="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Sheet1!$B$3:$G$3</c:f>
              <c:strCache>
                <c:ptCount val="6"/>
                <c:pt idx="0">
                  <c:v>հունվար</c:v>
                </c:pt>
                <c:pt idx="1">
                  <c:v>փետրվար</c:v>
                </c:pt>
                <c:pt idx="2">
                  <c:v>մարտ</c:v>
                </c:pt>
                <c:pt idx="3">
                  <c:v>ապրիլ</c:v>
                </c:pt>
                <c:pt idx="4">
                  <c:v>մայիս</c:v>
                </c:pt>
                <c:pt idx="5">
                  <c:v>հունիս</c:v>
                </c:pt>
              </c:strCache>
            </c:strRef>
          </c:cat>
          <c:val>
            <c:numRef>
              <c:f>Sheet1!$B$5:$G$5</c:f>
              <c:numCache>
                <c:formatCode>0.0</c:formatCode>
                <c:ptCount val="6"/>
                <c:pt idx="0">
                  <c:v>2.9980641254947784</c:v>
                </c:pt>
                <c:pt idx="1">
                  <c:v>0.3388884056175101</c:v>
                </c:pt>
                <c:pt idx="2">
                  <c:v>-0.40713769630907848</c:v>
                </c:pt>
                <c:pt idx="3">
                  <c:v>-0.16071197628498624</c:v>
                </c:pt>
                <c:pt idx="4">
                  <c:v>-2.0905650862535339</c:v>
                </c:pt>
                <c:pt idx="5">
                  <c:v>-4.4790233780366009</c:v>
                </c:pt>
              </c:numCache>
            </c:numRef>
          </c:val>
          <c:smooth val="0"/>
          <c:extLst>
            <c:ext xmlns:c16="http://schemas.microsoft.com/office/drawing/2014/chart" uri="{C3380CC4-5D6E-409C-BE32-E72D297353CC}">
              <c16:uniqueId val="{0000000B-88E6-4B44-8F2B-045EF611F983}"/>
            </c:ext>
          </c:extLst>
        </c:ser>
        <c:ser>
          <c:idx val="2"/>
          <c:order val="2"/>
          <c:tx>
            <c:strRef>
              <c:f>Sheet1!$A$6</c:f>
              <c:strCache>
                <c:ptCount val="1"/>
                <c:pt idx="0">
                  <c:v>Փոխարժեքի փոփոխություն (կուտակային)</c:v>
                </c:pt>
              </c:strCache>
            </c:strRef>
          </c:tx>
          <c:dLbls>
            <c:dLbl>
              <c:idx val="0"/>
              <c:layout>
                <c:manualLayout>
                  <c:x val="-3.4582132564841536E-2"/>
                  <c:y val="-8.39865621500559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9F9-46D0-99D2-6859F7A1832C}"/>
                </c:ext>
              </c:extLst>
            </c:dLbl>
            <c:dLbl>
              <c:idx val="1"/>
              <c:layout>
                <c:manualLayout>
                  <c:x val="-7.6849183477425559E-2"/>
                  <c:y val="-7.83874580067189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9F9-46D0-99D2-6859F7A1832C}"/>
                </c:ext>
              </c:extLst>
            </c:dLbl>
            <c:dLbl>
              <c:idx val="2"/>
              <c:layout>
                <c:manualLayout>
                  <c:x val="-8.8376560999039386E-2"/>
                  <c:y val="-8.39865621500559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9F9-46D0-99D2-6859F7A1832C}"/>
                </c:ext>
              </c:extLst>
            </c:dLbl>
            <c:dLbl>
              <c:idx val="3"/>
              <c:layout>
                <c:manualLayout>
                  <c:x val="-8.0691642651296899E-2"/>
                  <c:y val="-3.91937290033594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9F9-46D0-99D2-6859F7A1832C}"/>
                </c:ext>
              </c:extLst>
            </c:dLbl>
            <c:dLbl>
              <c:idx val="4"/>
              <c:layout>
                <c:manualLayout>
                  <c:x val="-7.2373474929466663E-2"/>
                  <c:y val="-5.820246713281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8E6-4B44-8F2B-045EF611F983}"/>
                </c:ext>
              </c:extLst>
            </c:dLbl>
            <c:dLbl>
              <c:idx val="5"/>
              <c:layout>
                <c:manualLayout>
                  <c:x val="-9.3169045511962437E-2"/>
                  <c:y val="-7.05769281639347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8E6-4B44-8F2B-045EF611F9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Sheet1!$B$3:$G$3</c:f>
              <c:strCache>
                <c:ptCount val="6"/>
                <c:pt idx="0">
                  <c:v>հունվար</c:v>
                </c:pt>
                <c:pt idx="1">
                  <c:v>փետրվար</c:v>
                </c:pt>
                <c:pt idx="2">
                  <c:v>մարտ</c:v>
                </c:pt>
                <c:pt idx="3">
                  <c:v>ապրիլ</c:v>
                </c:pt>
                <c:pt idx="4">
                  <c:v>մայիս</c:v>
                </c:pt>
                <c:pt idx="5">
                  <c:v>հունիս</c:v>
                </c:pt>
              </c:strCache>
            </c:strRef>
          </c:cat>
          <c:val>
            <c:numRef>
              <c:f>Sheet1!$B$6:$G$6</c:f>
              <c:numCache>
                <c:formatCode>0.0</c:formatCode>
                <c:ptCount val="6"/>
                <c:pt idx="0">
                  <c:v>8.1350235482064104</c:v>
                </c:pt>
                <c:pt idx="1">
                  <c:v>8.5748729513733792</c:v>
                </c:pt>
                <c:pt idx="2">
                  <c:v>7.7590992262830554</c:v>
                </c:pt>
                <c:pt idx="3">
                  <c:v>8.6960801583271916</c:v>
                </c:pt>
                <c:pt idx="4">
                  <c:v>9.7481061875712101</c:v>
                </c:pt>
                <c:pt idx="5">
                  <c:v>11.499211578231709</c:v>
                </c:pt>
              </c:numCache>
            </c:numRef>
          </c:val>
          <c:smooth val="0"/>
          <c:extLst>
            <c:ext xmlns:c16="http://schemas.microsoft.com/office/drawing/2014/chart" uri="{C3380CC4-5D6E-409C-BE32-E72D297353CC}">
              <c16:uniqueId val="{0000000E-88E6-4B44-8F2B-045EF611F983}"/>
            </c:ext>
          </c:extLst>
        </c:ser>
        <c:dLbls>
          <c:showLegendKey val="0"/>
          <c:showVal val="0"/>
          <c:showCatName val="0"/>
          <c:showSerName val="0"/>
          <c:showPercent val="0"/>
          <c:showBubbleSize val="0"/>
        </c:dLbls>
        <c:marker val="1"/>
        <c:smooth val="0"/>
        <c:axId val="274594048"/>
        <c:axId val="274599936"/>
      </c:lineChart>
      <c:catAx>
        <c:axId val="2745940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599936"/>
        <c:crosses val="autoZero"/>
        <c:auto val="1"/>
        <c:lblAlgn val="ctr"/>
        <c:lblOffset val="100"/>
        <c:noMultiLvlLbl val="0"/>
      </c:catAx>
      <c:valAx>
        <c:axId val="274599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594048"/>
        <c:crosses val="autoZero"/>
        <c:crossBetween val="between"/>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9.9683336043171616E-2"/>
                  <c:y val="6.92472511484776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DE2-412F-8950-300AFFD16309}"/>
                </c:ext>
              </c:extLst>
            </c:dLbl>
            <c:dLbl>
              <c:idx val="1"/>
              <c:layout>
                <c:manualLayout>
                  <c:x val="-9.8475832113906148E-2"/>
                  <c:y val="3.94040260644910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7C4-4B29-B9FE-4C814C0630E1}"/>
                </c:ext>
              </c:extLst>
            </c:dLbl>
            <c:dLbl>
              <c:idx val="2"/>
              <c:layout>
                <c:manualLayout>
                  <c:x val="-6.752204646985499E-2"/>
                  <c:y val="-2.7785223655553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7C4-4B29-B9FE-4C814C0630E1}"/>
                </c:ext>
              </c:extLst>
            </c:dLbl>
            <c:dLbl>
              <c:idx val="4"/>
              <c:layout>
                <c:manualLayout>
                  <c:x val="-9.5778071988789015E-2"/>
                  <c:y val="-7.07303524349490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525-4001-93C8-3C3F4C52DFF8}"/>
                </c:ext>
              </c:extLst>
            </c:dLbl>
            <c:dLbl>
              <c:idx val="5"/>
              <c:layout>
                <c:manualLayout>
                  <c:x val="-7.0910428231869244E-2"/>
                  <c:y val="-4.83339358616007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525-4001-93C8-3C3F4C52DFF8}"/>
                </c:ext>
              </c:extLst>
            </c:dLbl>
            <c:spPr>
              <a:noFill/>
              <a:ln>
                <a:noFill/>
              </a:ln>
              <a:effectLst/>
            </c:spPr>
            <c:txPr>
              <a:bodyPr wrap="square" lIns="38100" tIns="19050" rIns="38100" bIns="19050" anchor="ctr">
                <a:spAutoFit/>
              </a:bodyPr>
              <a:lstStyle/>
              <a:p>
                <a:pPr>
                  <a:defRPr sz="900" i="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51.900000000000006</c:v>
                </c:pt>
                <c:pt idx="1">
                  <c:v>30.300000000000011</c:v>
                </c:pt>
                <c:pt idx="2">
                  <c:v>5.2999999999999972</c:v>
                </c:pt>
                <c:pt idx="3">
                  <c:v>21.900000000000006</c:v>
                </c:pt>
                <c:pt idx="4">
                  <c:v>34.599999999999994</c:v>
                </c:pt>
                <c:pt idx="5">
                  <c:v>68.099999999999994</c:v>
                </c:pt>
              </c:numCache>
            </c:numRef>
          </c:val>
          <c:smooth val="0"/>
          <c:extLst>
            <c:ext xmlns:c16="http://schemas.microsoft.com/office/drawing/2014/chart" uri="{C3380CC4-5D6E-409C-BE32-E72D297353CC}">
              <c16:uniqueId val="{00000001-6DE2-412F-8950-300AFFD16309}"/>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2-6DE2-412F-8950-300AFFD16309}"/>
                </c:ext>
              </c:extLst>
            </c:dLbl>
            <c:dLbl>
              <c:idx val="4"/>
              <c:layout>
                <c:manualLayout>
                  <c:x val="-5.2535369698505995E-2"/>
                  <c:y val="0.1043254181693133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525-4001-93C8-3C3F4C52DFF8}"/>
                </c:ext>
              </c:extLst>
            </c:dLbl>
            <c:dLbl>
              <c:idx val="5"/>
              <c:layout>
                <c:manualLayout>
                  <c:x val="-6.2055482501307054E-2"/>
                  <c:y val="8.19290015959651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525-4001-93C8-3C3F4C52DFF8}"/>
                </c:ext>
              </c:extLst>
            </c:dLbl>
            <c:spPr>
              <a:noFill/>
              <a:ln>
                <a:noFill/>
              </a:ln>
              <a:effectLst/>
            </c:spPr>
            <c:txPr>
              <a:bodyPr wrap="square" lIns="38100" tIns="19050" rIns="38100" bIns="19050" anchor="ctr">
                <a:spAutoFit/>
              </a:bodyPr>
              <a:lstStyle/>
              <a:p>
                <a:pPr>
                  <a:defRPr sz="10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51.900000000000006</c:v>
                </c:pt>
                <c:pt idx="1">
                  <c:v>40.11871722230714</c:v>
                </c:pt>
                <c:pt idx="2">
                  <c:v>27.054278754315447</c:v>
                </c:pt>
                <c:pt idx="3">
                  <c:v>25.530122645354481</c:v>
                </c:pt>
                <c:pt idx="4">
                  <c:v>27.745376647265644</c:v>
                </c:pt>
                <c:pt idx="5">
                  <c:v>36.329550862943677</c:v>
                </c:pt>
              </c:numCache>
            </c:numRef>
          </c:val>
          <c:smooth val="0"/>
          <c:extLst>
            <c:ext xmlns:c16="http://schemas.microsoft.com/office/drawing/2014/chart" uri="{C3380CC4-5D6E-409C-BE32-E72D297353CC}">
              <c16:uniqueId val="{00000003-6DE2-412F-8950-300AFFD16309}"/>
            </c:ext>
          </c:extLst>
        </c:ser>
        <c:dLbls>
          <c:showLegendKey val="0"/>
          <c:showVal val="0"/>
          <c:showCatName val="0"/>
          <c:showSerName val="0"/>
          <c:showPercent val="0"/>
          <c:showBubbleSize val="0"/>
        </c:dLbls>
        <c:marker val="1"/>
        <c:smooth val="0"/>
        <c:axId val="274959360"/>
        <c:axId val="274961152"/>
      </c:lineChart>
      <c:catAx>
        <c:axId val="274959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961152"/>
        <c:crosses val="autoZero"/>
        <c:auto val="1"/>
        <c:lblAlgn val="ctr"/>
        <c:lblOffset val="100"/>
        <c:noMultiLvlLbl val="0"/>
      </c:catAx>
      <c:valAx>
        <c:axId val="274961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9593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21-4DD4-B0B9-8258C35CCD4A}"/>
                </c:ext>
              </c:extLst>
            </c:dLbl>
            <c:dLbl>
              <c:idx val="1"/>
              <c:layout>
                <c:manualLayout>
                  <c:x val="-7.3450892762393985E-2"/>
                  <c:y val="-5.42838927327092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21-4DD4-B0B9-8258C35CCD4A}"/>
                </c:ext>
              </c:extLst>
            </c:dLbl>
            <c:dLbl>
              <c:idx val="2"/>
              <c:layout>
                <c:manualLayout>
                  <c:x val="-6.1338338710759527E-2"/>
                  <c:y val="-5.16368155042834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21-4DD4-B0B9-8258C35CCD4A}"/>
                </c:ext>
              </c:extLst>
            </c:dLbl>
            <c:dLbl>
              <c:idx val="3"/>
              <c:layout>
                <c:manualLayout>
                  <c:x val="-5.0107179998726645E-2"/>
                  <c:y val="-7.1513095520962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21-4DD4-B0B9-8258C35CCD4A}"/>
                </c:ext>
              </c:extLst>
            </c:dLbl>
            <c:dLbl>
              <c:idx val="4"/>
              <c:layout>
                <c:manualLayout>
                  <c:x val="-7.9778302644783958E-2"/>
                  <c:y val="-6.45683406693972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21-4DD4-B0B9-8258C35CCD4A}"/>
                </c:ext>
              </c:extLst>
            </c:dLbl>
            <c:dLbl>
              <c:idx val="5"/>
              <c:layout>
                <c:manualLayout>
                  <c:x val="-8.46591615401176E-2"/>
                  <c:y val="-7.11531539585337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21-4DD4-B0B9-8258C35CCD4A}"/>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21-4DD4-B0B9-8258C35CCD4A}"/>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21-4DD4-B0B9-8258C35CCD4A}"/>
                </c:ext>
              </c:extLst>
            </c:dLbl>
            <c:dLbl>
              <c:idx val="8"/>
              <c:layout>
                <c:manualLayout>
                  <c:x val="-5.6255298645376532E-2"/>
                  <c:y val="-3.572055010574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21-4DD4-B0B9-8258C35CCD4A}"/>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39.177959376468522</c:v>
                </c:pt>
                <c:pt idx="1">
                  <c:v>37.507517557415383</c:v>
                </c:pt>
                <c:pt idx="2">
                  <c:v>25.451377722351751</c:v>
                </c:pt>
                <c:pt idx="3">
                  <c:v>18.152875336376198</c:v>
                </c:pt>
                <c:pt idx="4">
                  <c:v>20.894305588676914</c:v>
                </c:pt>
                <c:pt idx="5">
                  <c:v>24.483221445268867</c:v>
                </c:pt>
              </c:numCache>
            </c:numRef>
          </c:val>
          <c:smooth val="0"/>
          <c:extLst>
            <c:ext xmlns:c16="http://schemas.microsoft.com/office/drawing/2014/chart" uri="{C3380CC4-5D6E-409C-BE32-E72D297353CC}">
              <c16:uniqueId val="{00000009-7221-4DD4-B0B9-8258C35CCD4A}"/>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6.8338694859908011E-2"/>
                  <c:y val="9.83717937558372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6A2-4B6E-86C8-F0E4EC1EE181}"/>
                </c:ext>
              </c:extLst>
            </c:dLbl>
            <c:dLbl>
              <c:idx val="1"/>
              <c:layout>
                <c:manualLayout>
                  <c:x val="-8.6397994051282706E-2"/>
                  <c:y val="5.05677901705370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6A2-4B6E-86C8-F0E4EC1EE181}"/>
                </c:ext>
              </c:extLst>
            </c:dLbl>
            <c:dLbl>
              <c:idx val="2"/>
              <c:layout>
                <c:manualLayout>
                  <c:x val="-5.953022718521371E-2"/>
                  <c:y val="3.26412888260494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6A2-4B6E-86C8-F0E4EC1EE181}"/>
                </c:ext>
              </c:extLst>
            </c:dLbl>
            <c:dLbl>
              <c:idx val="3"/>
              <c:layout>
                <c:manualLayout>
                  <c:x val="-4.5235113804844476E-2"/>
                  <c:y val="5.15836252467246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F0-4C93-8F1A-F6C4E5D2EA70}"/>
                </c:ext>
              </c:extLst>
            </c:dLbl>
            <c:dLbl>
              <c:idx val="4"/>
              <c:layout>
                <c:manualLayout>
                  <c:x val="-6.7154408933384813E-2"/>
                  <c:y val="6.05468759189683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6A2-4B6E-86C8-F0E4EC1EE181}"/>
                </c:ext>
              </c:extLst>
            </c:dLbl>
            <c:dLbl>
              <c:idx val="5"/>
              <c:layout>
                <c:manualLayout>
                  <c:x val="-1.7713463952633193E-2"/>
                  <c:y val="8.14611274875373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FF0-4C93-8F1A-F6C4E5D2EA70}"/>
                </c:ext>
              </c:extLst>
            </c:dLbl>
            <c:spPr>
              <a:noFill/>
              <a:ln>
                <a:noFill/>
              </a:ln>
              <a:effectLst/>
            </c:spPr>
            <c:txPr>
              <a:bodyPr wrap="square" lIns="38100" tIns="19050" rIns="38100" bIns="19050" anchor="ctr">
                <a:spAutoFit/>
              </a:bodyPr>
              <a:lstStyle/>
              <a:p>
                <a:pPr>
                  <a:defRPr sz="900" i="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10.998359634729994</c:v>
                </c:pt>
                <c:pt idx="1">
                  <c:v>7.2501625547875221</c:v>
                </c:pt>
                <c:pt idx="2">
                  <c:v>7.6109981134904245</c:v>
                </c:pt>
                <c:pt idx="3">
                  <c:v>8.1397101996483912</c:v>
                </c:pt>
                <c:pt idx="4">
                  <c:v>7.6854992507823994</c:v>
                </c:pt>
                <c:pt idx="5">
                  <c:v>7.0759269145329995</c:v>
                </c:pt>
              </c:numCache>
            </c:numRef>
          </c:val>
          <c:smooth val="0"/>
          <c:extLst>
            <c:ext xmlns:c16="http://schemas.microsoft.com/office/drawing/2014/chart" uri="{C3380CC4-5D6E-409C-BE32-E72D297353CC}">
              <c16:uniqueId val="{0000000A-7221-4DD4-B0B9-8258C35CCD4A}"/>
            </c:ext>
          </c:extLst>
        </c:ser>
        <c:ser>
          <c:idx val="2"/>
          <c:order val="2"/>
          <c:tx>
            <c:strRef>
              <c:f>Sheet1!$A$4</c:f>
              <c:strCache>
                <c:ptCount val="1"/>
                <c:pt idx="0">
                  <c:v>Փոխարժեքի փոփոխություն (կուտակային)</c:v>
                </c:pt>
              </c:strCache>
            </c:strRef>
          </c:tx>
          <c:dLbls>
            <c:dLbl>
              <c:idx val="0"/>
              <c:layout>
                <c:manualLayout>
                  <c:x val="2.3103581055063535E-2"/>
                  <c:y val="-0.125485509411413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6A2-4B6E-86C8-F0E4EC1EE181}"/>
                </c:ext>
              </c:extLst>
            </c:dLbl>
            <c:dLbl>
              <c:idx val="1"/>
              <c:layout>
                <c:manualLayout>
                  <c:x val="-3.850596842510589E-3"/>
                  <c:y val="-5.97550044816253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6A2-4B6E-86C8-F0E4EC1EE181}"/>
                </c:ext>
              </c:extLst>
            </c:dLbl>
            <c:dLbl>
              <c:idx val="2"/>
              <c:layout>
                <c:manualLayout>
                  <c:x val="0"/>
                  <c:y val="-7.76815058261129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6A2-4B6E-86C8-F0E4EC1EE181}"/>
                </c:ext>
              </c:extLst>
            </c:dLbl>
            <c:dLbl>
              <c:idx val="3"/>
              <c:layout>
                <c:manualLayout>
                  <c:x val="-1.4118691988870844E-16"/>
                  <c:y val="-3.58530026889751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6A2-4B6E-86C8-F0E4EC1EE181}"/>
                </c:ext>
              </c:extLst>
            </c:dLbl>
            <c:dLbl>
              <c:idx val="4"/>
              <c:layout>
                <c:manualLayout>
                  <c:x val="8.3021293497342486E-3"/>
                  <c:y val="-5.37795040334628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FF0-4C93-8F1A-F6C4E5D2EA70}"/>
                </c:ext>
              </c:extLst>
            </c:dLbl>
            <c:dLbl>
              <c:idx val="5"/>
              <c:layout>
                <c:manualLayout>
                  <c:x val="-4.3257665568084455E-2"/>
                  <c:y val="-0.1015835076187630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FF0-4C93-8F1A-F6C4E5D2EA70}"/>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Sheet1!$B$4:$G$4</c:f>
              <c:numCache>
                <c:formatCode>0.0</c:formatCode>
                <c:ptCount val="6"/>
                <c:pt idx="0">
                  <c:v>8.1350235482064104</c:v>
                </c:pt>
                <c:pt idx="1">
                  <c:v>8.5748729513733792</c:v>
                </c:pt>
                <c:pt idx="2">
                  <c:v>7.7590992262830554</c:v>
                </c:pt>
                <c:pt idx="3">
                  <c:v>8.6960801583271916</c:v>
                </c:pt>
                <c:pt idx="4">
                  <c:v>9.7481061875712101</c:v>
                </c:pt>
                <c:pt idx="5">
                  <c:v>11.499211578231709</c:v>
                </c:pt>
              </c:numCache>
            </c:numRef>
          </c:val>
          <c:smooth val="0"/>
          <c:extLst>
            <c:ext xmlns:c16="http://schemas.microsoft.com/office/drawing/2014/chart" uri="{C3380CC4-5D6E-409C-BE32-E72D297353CC}">
              <c16:uniqueId val="{0000000B-7221-4DD4-B0B9-8258C35CCD4A}"/>
            </c:ext>
          </c:extLst>
        </c:ser>
        <c:dLbls>
          <c:showLegendKey val="0"/>
          <c:showVal val="0"/>
          <c:showCatName val="0"/>
          <c:showSerName val="0"/>
          <c:showPercent val="0"/>
          <c:showBubbleSize val="0"/>
        </c:dLbls>
        <c:marker val="1"/>
        <c:smooth val="0"/>
        <c:axId val="274937344"/>
        <c:axId val="274938880"/>
      </c:lineChart>
      <c:catAx>
        <c:axId val="274937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938880"/>
        <c:crosses val="autoZero"/>
        <c:auto val="1"/>
        <c:lblAlgn val="ctr"/>
        <c:lblOffset val="100"/>
        <c:noMultiLvlLbl val="0"/>
      </c:catAx>
      <c:valAx>
        <c:axId val="274938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937344"/>
        <c:crosses val="autoZero"/>
        <c:crossBetween val="between"/>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15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4"/>
              <c:layout>
                <c:manualLayout>
                  <c:x val="-9.0783021186123788E-2"/>
                  <c:y val="-4.57580392379010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8DA-44D9-AF52-64341CDD0B16}"/>
                </c:ext>
              </c:extLst>
            </c:dLbl>
            <c:dLbl>
              <c:idx val="5"/>
              <c:layout>
                <c:manualLayout>
                  <c:x val="-4.1664975053152274E-2"/>
                  <c:y val="2.01892029683339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18D-4A04-A84A-98ECD145F4F2}"/>
                </c:ext>
              </c:extLst>
            </c:dLbl>
            <c:spPr>
              <a:noFill/>
              <a:ln>
                <a:noFill/>
              </a:ln>
              <a:effectLst/>
            </c:spPr>
            <c:txPr>
              <a:bodyPr wrap="square" lIns="38100" tIns="19050" rIns="38100" bIns="19050" anchor="ctr">
                <a:spAutoFit/>
              </a:bodyPr>
              <a:lstStyle/>
              <a:p>
                <a:pPr>
                  <a:defRPr sz="900" i="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67.400000000000006</c:v>
                </c:pt>
                <c:pt idx="1">
                  <c:v>54.699999999999989</c:v>
                </c:pt>
                <c:pt idx="2">
                  <c:v>22.599999999999994</c:v>
                </c:pt>
                <c:pt idx="3">
                  <c:v>24</c:v>
                </c:pt>
                <c:pt idx="4">
                  <c:v>55.699999999999989</c:v>
                </c:pt>
                <c:pt idx="5">
                  <c:v>73.099999999999994</c:v>
                </c:pt>
              </c:numCache>
            </c:numRef>
          </c:val>
          <c:smooth val="0"/>
          <c:extLst>
            <c:ext xmlns:c16="http://schemas.microsoft.com/office/drawing/2014/chart" uri="{C3380CC4-5D6E-409C-BE32-E72D297353CC}">
              <c16:uniqueId val="{00000000-0B9B-40F2-8FBA-DA8CE5B77002}"/>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6.5506804865131343E-2"/>
                  <c:y val="-5.39568345323740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B9B-40F2-8FBA-DA8CE5B77002}"/>
                </c:ext>
              </c:extLst>
            </c:dLbl>
            <c:dLbl>
              <c:idx val="2"/>
              <c:layout>
                <c:manualLayout>
                  <c:x val="-7.4879005117576045E-2"/>
                  <c:y val="-0.1079136690647482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B9B-40F2-8FBA-DA8CE5B77002}"/>
                </c:ext>
              </c:extLst>
            </c:dLbl>
            <c:dLbl>
              <c:idx val="3"/>
              <c:layout>
                <c:manualLayout>
                  <c:x val="-7.456454306848008E-2"/>
                  <c:y val="-5.39568345323740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574-45D2-843F-51277785DE20}"/>
                </c:ext>
              </c:extLst>
            </c:dLbl>
            <c:dLbl>
              <c:idx val="4"/>
              <c:layout>
                <c:manualLayout>
                  <c:x val="-6.4297005487950365E-2"/>
                  <c:y val="6.59472422062349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8DA-44D9-AF52-64341CDD0B16}"/>
                </c:ext>
              </c:extLst>
            </c:dLbl>
            <c:dLbl>
              <c:idx val="5"/>
              <c:layout>
                <c:manualLayout>
                  <c:x val="-5.2045733089333981E-2"/>
                  <c:y val="0.1079136690647481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18D-4A04-A84A-98ECD145F4F2}"/>
                </c:ext>
              </c:extLst>
            </c:dLbl>
            <c:spPr>
              <a:noFill/>
              <a:ln>
                <a:noFill/>
              </a:ln>
              <a:effectLst/>
            </c:spPr>
            <c:txPr>
              <a:bodyPr wrap="square" lIns="38100" tIns="19050" rIns="38100" bIns="19050" anchor="ctr">
                <a:spAutoFit/>
              </a:bodyPr>
              <a:lstStyle/>
              <a:p>
                <a:pPr>
                  <a:defRPr sz="1000"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67.400000000000006</c:v>
                </c:pt>
                <c:pt idx="1">
                  <c:v>60.285197450352911</c:v>
                </c:pt>
                <c:pt idx="2">
                  <c:v>45.587551570044695</c:v>
                </c:pt>
                <c:pt idx="3">
                  <c:v>38.974431757142611</c:v>
                </c:pt>
                <c:pt idx="4">
                  <c:v>42.968309602502245</c:v>
                </c:pt>
                <c:pt idx="5">
                  <c:v>48.744812819322448</c:v>
                </c:pt>
              </c:numCache>
            </c:numRef>
          </c:val>
          <c:smooth val="0"/>
          <c:extLst>
            <c:ext xmlns:c16="http://schemas.microsoft.com/office/drawing/2014/chart" uri="{C3380CC4-5D6E-409C-BE32-E72D297353CC}">
              <c16:uniqueId val="{00000003-0B9B-40F2-8FBA-DA8CE5B77002}"/>
            </c:ext>
          </c:extLst>
        </c:ser>
        <c:dLbls>
          <c:dLblPos val="t"/>
          <c:showLegendKey val="0"/>
          <c:showVal val="1"/>
          <c:showCatName val="0"/>
          <c:showSerName val="0"/>
          <c:showPercent val="0"/>
          <c:showBubbleSize val="0"/>
        </c:dLbls>
        <c:marker val="1"/>
        <c:smooth val="0"/>
        <c:axId val="274875904"/>
        <c:axId val="274877440"/>
      </c:lineChart>
      <c:catAx>
        <c:axId val="274875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877440"/>
        <c:crosses val="autoZero"/>
        <c:auto val="1"/>
        <c:lblAlgn val="ctr"/>
        <c:lblOffset val="100"/>
        <c:noMultiLvlLbl val="0"/>
      </c:catAx>
      <c:valAx>
        <c:axId val="274877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875904"/>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sz="600">
              <a:solidFill>
                <a:sysClr val="windowText" lastClr="000000"/>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Sheet1!$B$1:$AB$1</c:f>
              <c:strCache>
                <c:ptCount val="5"/>
                <c:pt idx="0">
                  <c:v>2018</c:v>
                </c:pt>
                <c:pt idx="1">
                  <c:v>2019</c:v>
                </c:pt>
                <c:pt idx="2">
                  <c:v>2020</c:v>
                </c:pt>
                <c:pt idx="3">
                  <c:v>2021</c:v>
                </c:pt>
                <c:pt idx="4">
                  <c:v>2022</c:v>
                </c:pt>
              </c:strCache>
            </c:strRef>
          </c:cat>
          <c:val>
            <c:numRef>
              <c:f>Sheet1!$B$2:$AB$2</c:f>
              <c:numCache>
                <c:formatCode>0.0</c:formatCode>
                <c:ptCount val="5"/>
                <c:pt idx="0">
                  <c:v>60.286723111988586</c:v>
                </c:pt>
                <c:pt idx="1">
                  <c:v>62.812400864321241</c:v>
                </c:pt>
                <c:pt idx="2">
                  <c:v>61.264560443824436</c:v>
                </c:pt>
                <c:pt idx="3">
                  <c:v>73.020645025556803</c:v>
                </c:pt>
                <c:pt idx="4">
                  <c:v>67.990460015177248</c:v>
                </c:pt>
              </c:numCache>
            </c:numRef>
          </c:val>
          <c:extLst>
            <c:ext xmlns:c16="http://schemas.microsoft.com/office/drawing/2014/chart" uri="{C3380CC4-5D6E-409C-BE32-E72D297353CC}">
              <c16:uniqueId val="{00000000-B0FE-49B1-B5CC-65A2D2A26058}"/>
            </c:ext>
          </c:extLst>
        </c:ser>
        <c:dLbls>
          <c:showLegendKey val="0"/>
          <c:showVal val="0"/>
          <c:showCatName val="0"/>
          <c:showSerName val="0"/>
          <c:showPercent val="0"/>
          <c:showBubbleSize val="0"/>
        </c:dLbls>
        <c:gapWidth val="150"/>
        <c:axId val="274493440"/>
        <c:axId val="274494976"/>
      </c:barChart>
      <c:catAx>
        <c:axId val="274493440"/>
        <c:scaling>
          <c:orientation val="minMax"/>
        </c:scaling>
        <c:delete val="0"/>
        <c:axPos val="l"/>
        <c:numFmt formatCode="General" sourceLinked="1"/>
        <c:majorTickMark val="out"/>
        <c:minorTickMark val="none"/>
        <c:tickLblPos val="nextTo"/>
        <c:crossAx val="274494976"/>
        <c:crosses val="autoZero"/>
        <c:auto val="1"/>
        <c:lblAlgn val="ctr"/>
        <c:lblOffset val="100"/>
        <c:tickLblSkip val="1"/>
        <c:noMultiLvlLbl val="0"/>
      </c:catAx>
      <c:valAx>
        <c:axId val="274494976"/>
        <c:scaling>
          <c:orientation val="minMax"/>
        </c:scaling>
        <c:delete val="0"/>
        <c:axPos val="b"/>
        <c:majorGridlines/>
        <c:numFmt formatCode="0.0" sourceLinked="1"/>
        <c:majorTickMark val="out"/>
        <c:minorTickMark val="none"/>
        <c:tickLblPos val="nextTo"/>
        <c:crossAx val="274493440"/>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Sheet1!$C$2</c:f>
              <c:strCache>
                <c:ptCount val="1"/>
                <c:pt idx="0">
                  <c:v>Դոլար</c:v>
                </c:pt>
              </c:strCache>
            </c:strRef>
          </c:tx>
          <c:spPr>
            <a:solidFill>
              <a:schemeClr val="accent1"/>
            </a:solidFill>
            <a:ln>
              <a:noFill/>
            </a:ln>
            <a:effectLst/>
          </c:spPr>
          <c:invertIfNegative val="0"/>
          <c:cat>
            <c:multiLvlStrRef>
              <c:f>Sheet1!$A$3:$B$14</c:f>
              <c:multiLvlStrCache>
                <c:ptCount val="12"/>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lvl>
                <c:lvl>
                  <c:pt idx="0">
                    <c:v>Հունվ․</c:v>
                  </c:pt>
                  <c:pt idx="2">
                    <c:v>Փետ․</c:v>
                  </c:pt>
                  <c:pt idx="4">
                    <c:v>Մրտ․</c:v>
                  </c:pt>
                  <c:pt idx="6">
                    <c:v>Ապր․</c:v>
                  </c:pt>
                  <c:pt idx="8">
                    <c:v>Մայ․</c:v>
                  </c:pt>
                  <c:pt idx="10">
                    <c:v>Հուն․</c:v>
                  </c:pt>
                </c:lvl>
              </c:multiLvlStrCache>
            </c:multiLvlStrRef>
          </c:cat>
          <c:val>
            <c:numRef>
              <c:f>Sheet1!$C$3:$C$14</c:f>
              <c:numCache>
                <c:formatCode>0.0</c:formatCode>
                <c:ptCount val="12"/>
                <c:pt idx="0">
                  <c:v>196.58997992351988</c:v>
                </c:pt>
                <c:pt idx="1">
                  <c:v>172.56211063490514</c:v>
                </c:pt>
                <c:pt idx="2">
                  <c:v>220.44791656193235</c:v>
                </c:pt>
                <c:pt idx="3">
                  <c:v>227.10265330216052</c:v>
                </c:pt>
                <c:pt idx="4">
                  <c:v>316.56021408161007</c:v>
                </c:pt>
                <c:pt idx="5">
                  <c:v>251.10630550770398</c:v>
                </c:pt>
                <c:pt idx="6">
                  <c:v>243.6350012978528</c:v>
                </c:pt>
                <c:pt idx="7">
                  <c:v>205.45514191617764</c:v>
                </c:pt>
                <c:pt idx="8">
                  <c:v>243.24458075416413</c:v>
                </c:pt>
                <c:pt idx="9">
                  <c:v>277.46070972776545</c:v>
                </c:pt>
                <c:pt idx="10">
                  <c:v>259.27033630311377</c:v>
                </c:pt>
                <c:pt idx="11">
                  <c:v>313.41856014771014</c:v>
                </c:pt>
              </c:numCache>
            </c:numRef>
          </c:val>
          <c:extLst>
            <c:ext xmlns:c16="http://schemas.microsoft.com/office/drawing/2014/chart" uri="{C3380CC4-5D6E-409C-BE32-E72D297353CC}">
              <c16:uniqueId val="{00000000-CE0D-4C4F-A956-4F3BE718D5CC}"/>
            </c:ext>
          </c:extLst>
        </c:ser>
        <c:ser>
          <c:idx val="1"/>
          <c:order val="1"/>
          <c:tx>
            <c:strRef>
              <c:f>Sheet1!$D$2</c:f>
              <c:strCache>
                <c:ptCount val="1"/>
                <c:pt idx="0">
                  <c:v>Եվրո</c:v>
                </c:pt>
              </c:strCache>
            </c:strRef>
          </c:tx>
          <c:spPr>
            <a:solidFill>
              <a:schemeClr val="accent2"/>
            </a:solidFill>
            <a:ln>
              <a:noFill/>
            </a:ln>
            <a:effectLst/>
          </c:spPr>
          <c:invertIfNegative val="0"/>
          <c:cat>
            <c:multiLvlStrRef>
              <c:f>Sheet1!$A$3:$B$14</c:f>
              <c:multiLvlStrCache>
                <c:ptCount val="12"/>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lvl>
                <c:lvl>
                  <c:pt idx="0">
                    <c:v>Հունվ․</c:v>
                  </c:pt>
                  <c:pt idx="2">
                    <c:v>Փետ․</c:v>
                  </c:pt>
                  <c:pt idx="4">
                    <c:v>Մրտ․</c:v>
                  </c:pt>
                  <c:pt idx="6">
                    <c:v>Ապր․</c:v>
                  </c:pt>
                  <c:pt idx="8">
                    <c:v>Մայ․</c:v>
                  </c:pt>
                  <c:pt idx="10">
                    <c:v>Հուն․</c:v>
                  </c:pt>
                </c:lvl>
              </c:multiLvlStrCache>
            </c:multiLvlStrRef>
          </c:cat>
          <c:val>
            <c:numRef>
              <c:f>Sheet1!$D$3:$D$14</c:f>
              <c:numCache>
                <c:formatCode>0.0</c:formatCode>
                <c:ptCount val="12"/>
                <c:pt idx="0">
                  <c:v>34.001542658102096</c:v>
                </c:pt>
                <c:pt idx="1">
                  <c:v>37.822345786900797</c:v>
                </c:pt>
                <c:pt idx="2">
                  <c:v>33.032567697920683</c:v>
                </c:pt>
                <c:pt idx="3">
                  <c:v>43.981832159751605</c:v>
                </c:pt>
                <c:pt idx="4">
                  <c:v>154.83714980940937</c:v>
                </c:pt>
                <c:pt idx="5">
                  <c:v>102.01159860102872</c:v>
                </c:pt>
                <c:pt idx="6">
                  <c:v>39.297718178928498</c:v>
                </c:pt>
                <c:pt idx="7">
                  <c:v>69.499375029610079</c:v>
                </c:pt>
                <c:pt idx="8">
                  <c:v>36.607920021028796</c:v>
                </c:pt>
                <c:pt idx="9">
                  <c:v>79.290092285115691</c:v>
                </c:pt>
                <c:pt idx="10">
                  <c:v>45.377779841968795</c:v>
                </c:pt>
                <c:pt idx="11">
                  <c:v>88.603691349016515</c:v>
                </c:pt>
              </c:numCache>
            </c:numRef>
          </c:val>
          <c:extLst>
            <c:ext xmlns:c16="http://schemas.microsoft.com/office/drawing/2014/chart" uri="{C3380CC4-5D6E-409C-BE32-E72D297353CC}">
              <c16:uniqueId val="{00000001-CE0D-4C4F-A956-4F3BE718D5CC}"/>
            </c:ext>
          </c:extLst>
        </c:ser>
        <c:ser>
          <c:idx val="2"/>
          <c:order val="2"/>
          <c:tx>
            <c:strRef>
              <c:f>Sheet1!$E$2</c:f>
              <c:strCache>
                <c:ptCount val="1"/>
                <c:pt idx="0">
                  <c:v>Ռուբլի</c:v>
                </c:pt>
              </c:strCache>
            </c:strRef>
          </c:tx>
          <c:spPr>
            <a:solidFill>
              <a:schemeClr val="accent3"/>
            </a:solidFill>
            <a:ln>
              <a:noFill/>
            </a:ln>
            <a:effectLst/>
          </c:spPr>
          <c:invertIfNegative val="0"/>
          <c:cat>
            <c:multiLvlStrRef>
              <c:f>Sheet1!$A$3:$B$14</c:f>
              <c:multiLvlStrCache>
                <c:ptCount val="12"/>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lvl>
                <c:lvl>
                  <c:pt idx="0">
                    <c:v>Հունվ․</c:v>
                  </c:pt>
                  <c:pt idx="2">
                    <c:v>Փետ․</c:v>
                  </c:pt>
                  <c:pt idx="4">
                    <c:v>Մրտ․</c:v>
                  </c:pt>
                  <c:pt idx="6">
                    <c:v>Ապր․</c:v>
                  </c:pt>
                  <c:pt idx="8">
                    <c:v>Մայ․</c:v>
                  </c:pt>
                  <c:pt idx="10">
                    <c:v>Հուն․</c:v>
                  </c:pt>
                </c:lvl>
              </c:multiLvlStrCache>
            </c:multiLvlStrRef>
          </c:cat>
          <c:val>
            <c:numRef>
              <c:f>Sheet1!$E$3:$E$14</c:f>
              <c:numCache>
                <c:formatCode>0.0</c:formatCode>
                <c:ptCount val="12"/>
                <c:pt idx="0">
                  <c:v>34.336115549223599</c:v>
                </c:pt>
                <c:pt idx="1">
                  <c:v>48.470661090227999</c:v>
                </c:pt>
                <c:pt idx="2">
                  <c:v>42.127410726841589</c:v>
                </c:pt>
                <c:pt idx="3">
                  <c:v>54.935582321700807</c:v>
                </c:pt>
                <c:pt idx="4">
                  <c:v>39.934192546036513</c:v>
                </c:pt>
                <c:pt idx="5">
                  <c:v>44.590028108180505</c:v>
                </c:pt>
                <c:pt idx="6">
                  <c:v>63.169978960973694</c:v>
                </c:pt>
                <c:pt idx="7">
                  <c:v>40.297859813176608</c:v>
                </c:pt>
                <c:pt idx="8">
                  <c:v>99.260520277638705</c:v>
                </c:pt>
                <c:pt idx="9">
                  <c:v>37.626992654904505</c:v>
                </c:pt>
                <c:pt idx="10">
                  <c:v>143.77706094952819</c:v>
                </c:pt>
                <c:pt idx="11">
                  <c:v>37.816436528186912</c:v>
                </c:pt>
              </c:numCache>
            </c:numRef>
          </c:val>
          <c:extLst>
            <c:ext xmlns:c16="http://schemas.microsoft.com/office/drawing/2014/chart" uri="{C3380CC4-5D6E-409C-BE32-E72D297353CC}">
              <c16:uniqueId val="{00000002-CE0D-4C4F-A956-4F3BE718D5CC}"/>
            </c:ext>
          </c:extLst>
        </c:ser>
        <c:dLbls>
          <c:showLegendKey val="0"/>
          <c:showVal val="0"/>
          <c:showCatName val="0"/>
          <c:showSerName val="0"/>
          <c:showPercent val="0"/>
          <c:showBubbleSize val="0"/>
        </c:dLbls>
        <c:gapWidth val="150"/>
        <c:overlap val="100"/>
        <c:axId val="283496448"/>
        <c:axId val="283497984"/>
      </c:barChart>
      <c:catAx>
        <c:axId val="2834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497984"/>
        <c:crosses val="autoZero"/>
        <c:auto val="1"/>
        <c:lblAlgn val="ctr"/>
        <c:lblOffset val="100"/>
        <c:noMultiLvlLbl val="0"/>
      </c:catAx>
      <c:valAx>
        <c:axId val="283497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496448"/>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Sheet1!$A$2:$A$380</c:f>
              <c:numCache>
                <c:formatCode>[$-2B]dd/mmm/yy</c:formatCode>
                <c:ptCount val="379"/>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44589</c:v>
                </c:pt>
                <c:pt idx="269" formatCode="[$-2B]dd\,\ mmm\,\ yy">
                  <c:v>44592</c:v>
                </c:pt>
                <c:pt idx="270" formatCode="[$-2B]dd\,\ mmm\,\ yy">
                  <c:v>44593</c:v>
                </c:pt>
                <c:pt idx="271" formatCode="[$-2B]dd\,\ mmm\,\ yy">
                  <c:v>44594</c:v>
                </c:pt>
                <c:pt idx="272" formatCode="[$-2B]dd\,\ mmm\,\ yy">
                  <c:v>44595</c:v>
                </c:pt>
                <c:pt idx="273" formatCode="[$-2B]dd\,\ mmm\,\ yy">
                  <c:v>44596</c:v>
                </c:pt>
                <c:pt idx="274" formatCode="[$-2B]dd\,\ mmm\,\ yy">
                  <c:v>44599</c:v>
                </c:pt>
                <c:pt idx="275" formatCode="[$-2B]dd\,\ mmm\,\ yy">
                  <c:v>44600</c:v>
                </c:pt>
                <c:pt idx="276" formatCode="[$-2B]dd\,\ mmm\,\ yy">
                  <c:v>44601</c:v>
                </c:pt>
                <c:pt idx="277" formatCode="[$-2B]dd\,\ mmm\,\ yy">
                  <c:v>44602</c:v>
                </c:pt>
                <c:pt idx="278" formatCode="[$-2B]dd\,\ mmm\,\ yy">
                  <c:v>44603</c:v>
                </c:pt>
                <c:pt idx="279" formatCode="[$-2B]dd\,\ mmm\,\ yy">
                  <c:v>44606</c:v>
                </c:pt>
                <c:pt idx="280" formatCode="[$-2B]dd\,\ mmm\,\ yy">
                  <c:v>44607</c:v>
                </c:pt>
                <c:pt idx="281" formatCode="[$-2B]dd\,\ mmm\,\ yy">
                  <c:v>44608</c:v>
                </c:pt>
                <c:pt idx="282" formatCode="[$-2B]dd\,\ mmm\,\ yy">
                  <c:v>44609</c:v>
                </c:pt>
                <c:pt idx="283" formatCode="[$-2B]dd\,\ mmm\,\ yy">
                  <c:v>44610</c:v>
                </c:pt>
                <c:pt idx="284" formatCode="[$-2B]dd\,\ mmm\,\ yy">
                  <c:v>44613</c:v>
                </c:pt>
                <c:pt idx="285" formatCode="[$-2B]dd\,\ mmm\,\ yy">
                  <c:v>44614</c:v>
                </c:pt>
                <c:pt idx="286" formatCode="[$-2B]dd\,\ mmm\,\ yy">
                  <c:v>44615</c:v>
                </c:pt>
                <c:pt idx="287" formatCode="[$-2B]dd\,\ mmm\,\ yy">
                  <c:v>44616</c:v>
                </c:pt>
                <c:pt idx="288" formatCode="[$-2B]dd\,\ mmm\,\ yy">
                  <c:v>44617</c:v>
                </c:pt>
                <c:pt idx="289" formatCode="[$-2B]dd\,\ mmm\,\ yy">
                  <c:v>44620</c:v>
                </c:pt>
                <c:pt idx="290" formatCode="[$-2B]dd\,\ mmm\,\ yy">
                  <c:v>44621</c:v>
                </c:pt>
                <c:pt idx="291" formatCode="[$-2B]dd\,\ mmm\,\ yy">
                  <c:v>44622</c:v>
                </c:pt>
                <c:pt idx="292" formatCode="[$-2B]dd\,\ mmm\,\ yy">
                  <c:v>44623</c:v>
                </c:pt>
                <c:pt idx="293" formatCode="[$-2B]dd\,\ mmm\,\ yy">
                  <c:v>44624</c:v>
                </c:pt>
                <c:pt idx="294" formatCode="[$-2B]dd\,\ mmm\,\ yy">
                  <c:v>44627</c:v>
                </c:pt>
                <c:pt idx="295" formatCode="[$-2B]dd\,\ mmm\,\ yy">
                  <c:v>44628</c:v>
                </c:pt>
                <c:pt idx="296" formatCode="[$-2B]dd\,\ mmm\,\ yy">
                  <c:v>44629</c:v>
                </c:pt>
                <c:pt idx="297" formatCode="[$-2B]dd\,\ mmm\,\ yy">
                  <c:v>44630</c:v>
                </c:pt>
                <c:pt idx="298" formatCode="[$-2B]dd\,\ mmm\,\ yy">
                  <c:v>44631</c:v>
                </c:pt>
                <c:pt idx="299" formatCode="[$-2B]dd\,\ mmm\,\ yy">
                  <c:v>44634</c:v>
                </c:pt>
                <c:pt idx="300" formatCode="[$-2B]dd\,\ mmm\,\ yy">
                  <c:v>44635</c:v>
                </c:pt>
                <c:pt idx="301" formatCode="[$-2B]dd\,\ mmm\,\ yy">
                  <c:v>44636</c:v>
                </c:pt>
                <c:pt idx="302" formatCode="[$-2B]dd\,\ mmm\,\ yy">
                  <c:v>44637</c:v>
                </c:pt>
                <c:pt idx="303" formatCode="[$-2B]dd\,\ mmm\,\ yy">
                  <c:v>44638</c:v>
                </c:pt>
                <c:pt idx="304" formatCode="[$-2B]dd\,\ mmm\,\ yy">
                  <c:v>44641</c:v>
                </c:pt>
                <c:pt idx="305" formatCode="[$-2B]dd\,\ mmm\,\ yy">
                  <c:v>44642</c:v>
                </c:pt>
                <c:pt idx="306" formatCode="[$-2B]dd\,\ mmm\,\ yy">
                  <c:v>44643</c:v>
                </c:pt>
                <c:pt idx="307" formatCode="[$-2B]dd\,\ mmm\,\ yy">
                  <c:v>44644</c:v>
                </c:pt>
                <c:pt idx="308" formatCode="[$-2B]dd\,\ mmm\,\ yy">
                  <c:v>44645</c:v>
                </c:pt>
                <c:pt idx="309" formatCode="[$-2B]dd\,\ mmm\,\ yy">
                  <c:v>44648</c:v>
                </c:pt>
                <c:pt idx="310" formatCode="[$-2B]dd\,\ mmm\,\ yy">
                  <c:v>44649</c:v>
                </c:pt>
                <c:pt idx="311" formatCode="[$-2B]dd\,\ mmm\,\ yy">
                  <c:v>44650</c:v>
                </c:pt>
                <c:pt idx="312" formatCode="[$-2B]dd\,\ mmm\,\ yy">
                  <c:v>44651</c:v>
                </c:pt>
                <c:pt idx="313" formatCode="[$-2B]dd\,\ mmm\,\ yy">
                  <c:v>44652</c:v>
                </c:pt>
                <c:pt idx="314" formatCode="[$-2B]dd\,\ mmm\,\ yy">
                  <c:v>44655</c:v>
                </c:pt>
                <c:pt idx="315" formatCode="[$-2B]dd\,\ mmm\,\ yy">
                  <c:v>44656</c:v>
                </c:pt>
                <c:pt idx="316" formatCode="[$-2B]dd\,\ mmm\,\ yy">
                  <c:v>44657</c:v>
                </c:pt>
                <c:pt idx="317" formatCode="[$-2B]dd\,\ mmm\,\ yy">
                  <c:v>44658</c:v>
                </c:pt>
                <c:pt idx="318" formatCode="[$-2B]dd\,\ mmm\,\ yy">
                  <c:v>44659</c:v>
                </c:pt>
                <c:pt idx="319" formatCode="[$-2B]dd\,\ mmm\,\ yy">
                  <c:v>44662</c:v>
                </c:pt>
                <c:pt idx="320" formatCode="[$-2B]dd\,\ mmm\,\ yy">
                  <c:v>44663</c:v>
                </c:pt>
                <c:pt idx="321" formatCode="[$-2B]dd\,\ mmm\,\ yy">
                  <c:v>44664</c:v>
                </c:pt>
                <c:pt idx="322" formatCode="[$-2B]dd\,\ mmm\,\ yy">
                  <c:v>44665</c:v>
                </c:pt>
                <c:pt idx="323" formatCode="[$-2B]dd\,\ mmm\,\ yy">
                  <c:v>44666</c:v>
                </c:pt>
                <c:pt idx="324" formatCode="[$-2B]dd\,\ mmm\,\ yy">
                  <c:v>44669</c:v>
                </c:pt>
                <c:pt idx="325" formatCode="[$-2B]dd\,\ mmm\,\ yy">
                  <c:v>44670</c:v>
                </c:pt>
                <c:pt idx="326" formatCode="[$-2B]dd\,\ mmm\,\ yy">
                  <c:v>44671</c:v>
                </c:pt>
                <c:pt idx="327" formatCode="[$-2B]dd\,\ mmm\,\ yy">
                  <c:v>44672</c:v>
                </c:pt>
                <c:pt idx="328" formatCode="[$-2B]dd\,\ mmm\,\ yy">
                  <c:v>44673</c:v>
                </c:pt>
                <c:pt idx="329" formatCode="[$-2B]dd\,\ mmm\,\ yy">
                  <c:v>44676</c:v>
                </c:pt>
                <c:pt idx="330" formatCode="[$-2B]dd\,\ mmm\,\ yy">
                  <c:v>44677</c:v>
                </c:pt>
                <c:pt idx="331" formatCode="[$-2B]dd\,\ mmm\,\ yy">
                  <c:v>44678</c:v>
                </c:pt>
                <c:pt idx="332" formatCode="[$-2B]dd\,\ mmm\,\ yy">
                  <c:v>44679</c:v>
                </c:pt>
                <c:pt idx="333" formatCode="[$-2B]dd\,\ mmm\,\ yy">
                  <c:v>44680</c:v>
                </c:pt>
                <c:pt idx="334" formatCode="[$-2B]dd\,\ mmm\,\ yy">
                  <c:v>44683</c:v>
                </c:pt>
                <c:pt idx="335" formatCode="[$-2B]dd\,\ mmm\,\ yy">
                  <c:v>44684</c:v>
                </c:pt>
                <c:pt idx="336" formatCode="[$-2B]dd\,\ mmm\,\ yy">
                  <c:v>44685</c:v>
                </c:pt>
                <c:pt idx="337" formatCode="[$-2B]dd\,\ mmm\,\ yy">
                  <c:v>44686</c:v>
                </c:pt>
                <c:pt idx="338" formatCode="[$-2B]dd\,\ mmm\,\ yy">
                  <c:v>44687</c:v>
                </c:pt>
                <c:pt idx="339" formatCode="[$-2B]dd\,\ mmm\,\ yy">
                  <c:v>44690</c:v>
                </c:pt>
                <c:pt idx="340" formatCode="[$-2B]dd\,\ mmm\,\ yy">
                  <c:v>44691</c:v>
                </c:pt>
                <c:pt idx="341" formatCode="[$-2B]dd\,\ mmm\,\ yy">
                  <c:v>44692</c:v>
                </c:pt>
                <c:pt idx="342" formatCode="[$-2B]dd\,\ mmm\,\ yy">
                  <c:v>44693</c:v>
                </c:pt>
                <c:pt idx="343" formatCode="[$-2B]dd\,\ mmm\,\ yy">
                  <c:v>44694</c:v>
                </c:pt>
                <c:pt idx="344" formatCode="[$-2B]dd\,\ mmm\,\ yy">
                  <c:v>44697</c:v>
                </c:pt>
                <c:pt idx="345" formatCode="[$-2B]dd\,\ mmm\,\ yy">
                  <c:v>44698</c:v>
                </c:pt>
                <c:pt idx="346" formatCode="[$-2B]dd\,\ mmm\,\ yy">
                  <c:v>44699</c:v>
                </c:pt>
                <c:pt idx="347" formatCode="[$-2B]dd\,\ mmm\,\ yy">
                  <c:v>44700</c:v>
                </c:pt>
                <c:pt idx="348" formatCode="[$-2B]dd\,\ mmm\,\ yy">
                  <c:v>44701</c:v>
                </c:pt>
                <c:pt idx="349" formatCode="[$-2B]dd\,\ mmm\,\ yy">
                  <c:v>44704</c:v>
                </c:pt>
                <c:pt idx="350" formatCode="[$-2B]dd\,\ mmm\,\ yy">
                  <c:v>44705</c:v>
                </c:pt>
                <c:pt idx="351" formatCode="[$-2B]dd\,\ mmm\,\ yy">
                  <c:v>44706</c:v>
                </c:pt>
                <c:pt idx="352" formatCode="[$-2B]dd\,\ mmm\,\ yy">
                  <c:v>44707</c:v>
                </c:pt>
                <c:pt idx="353" formatCode="[$-2B]dd\,\ mmm\,\ yy">
                  <c:v>44708</c:v>
                </c:pt>
                <c:pt idx="354" formatCode="[$-2B]dd\,\ mmm\,\ yy">
                  <c:v>44711</c:v>
                </c:pt>
                <c:pt idx="355" formatCode="[$-2B]dd\,\ mmm\,\ yy">
                  <c:v>44712</c:v>
                </c:pt>
                <c:pt idx="356" formatCode="[$-2B]dd\,\ mmm\,\ yy">
                  <c:v>44713</c:v>
                </c:pt>
                <c:pt idx="357" formatCode="[$-2B]dd\,\ mmm\,\ yy">
                  <c:v>44714</c:v>
                </c:pt>
                <c:pt idx="358" formatCode="[$-2B]dd\,\ mmm\,\ yy">
                  <c:v>44715</c:v>
                </c:pt>
                <c:pt idx="359" formatCode="[$-2B]dd\,\ mmm\,\ yy">
                  <c:v>44718</c:v>
                </c:pt>
                <c:pt idx="360" formatCode="[$-2B]dd\,\ mmm\,\ yy">
                  <c:v>44719</c:v>
                </c:pt>
                <c:pt idx="361" formatCode="[$-2B]dd\,\ mmm\,\ yy">
                  <c:v>44720</c:v>
                </c:pt>
                <c:pt idx="362" formatCode="[$-2B]dd\,\ mmm\,\ yy">
                  <c:v>44721</c:v>
                </c:pt>
                <c:pt idx="363" formatCode="[$-2B]dd\,\ mmm\,\ yy">
                  <c:v>44722</c:v>
                </c:pt>
                <c:pt idx="364" formatCode="[$-2B]dd\,\ mmm\,\ yy">
                  <c:v>44725</c:v>
                </c:pt>
                <c:pt idx="365" formatCode="[$-2B]dd\,\ mmm\,\ yy">
                  <c:v>44726</c:v>
                </c:pt>
                <c:pt idx="366" formatCode="[$-2B]dd\,\ mmm\,\ yy">
                  <c:v>44727</c:v>
                </c:pt>
                <c:pt idx="367" formatCode="[$-2B]dd\,\ mmm\,\ yy">
                  <c:v>44728</c:v>
                </c:pt>
                <c:pt idx="368" formatCode="[$-2B]dd\,\ mmm\,\ yy">
                  <c:v>44729</c:v>
                </c:pt>
                <c:pt idx="369" formatCode="[$-2B]dd\,\ mmm\,\ yy">
                  <c:v>44732</c:v>
                </c:pt>
                <c:pt idx="370" formatCode="[$-2B]dd\,\ mmm\,\ yy">
                  <c:v>44733</c:v>
                </c:pt>
                <c:pt idx="371" formatCode="[$-2B]dd\,\ mmm\,\ yy">
                  <c:v>44734</c:v>
                </c:pt>
                <c:pt idx="372" formatCode="[$-2B]dd\,\ mmm\,\ yy">
                  <c:v>44735</c:v>
                </c:pt>
                <c:pt idx="373" formatCode="[$-2B]dd\,\ mmm\,\ yy">
                  <c:v>44736</c:v>
                </c:pt>
                <c:pt idx="374" formatCode="[$-2B]dd\,\ mmm\,\ yy">
                  <c:v>44739</c:v>
                </c:pt>
                <c:pt idx="375" formatCode="[$-2B]dd\,\ mmm\,\ yy">
                  <c:v>44740</c:v>
                </c:pt>
                <c:pt idx="376" formatCode="[$-2B]dd\,\ mmm\,\ yy">
                  <c:v>44741</c:v>
                </c:pt>
                <c:pt idx="377" formatCode="[$-2B]dd\,\ mmm\,\ yy">
                  <c:v>44742</c:v>
                </c:pt>
              </c:numCache>
            </c:numRef>
          </c:cat>
          <c:val>
            <c:numRef>
              <c:f>Sheet1!$B$2:$B$380</c:f>
              <c:numCache>
                <c:formatCode>_(* #,##0_);_(* \(#,##0\);_(* "-"??_);_(@_)</c:formatCode>
                <c:ptCount val="379"/>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pt idx="311">
                  <c:v>107.84066999463683</c:v>
                </c:pt>
                <c:pt idx="312">
                  <c:v>108.20449135879134</c:v>
                </c:pt>
                <c:pt idx="313">
                  <c:v>108.55499491268515</c:v>
                </c:pt>
                <c:pt idx="314">
                  <c:v>109.05544661854903</c:v>
                </c:pt>
                <c:pt idx="315">
                  <c:v>109.6179652771954</c:v>
                </c:pt>
                <c:pt idx="316">
                  <c:v>109.90140637810346</c:v>
                </c:pt>
                <c:pt idx="317">
                  <c:v>110.09813832027638</c:v>
                </c:pt>
                <c:pt idx="318">
                  <c:v>110.49605816583187</c:v>
                </c:pt>
                <c:pt idx="319">
                  <c:v>110.65978028491</c:v>
                </c:pt>
                <c:pt idx="320">
                  <c:v>110.87569722805462</c:v>
                </c:pt>
                <c:pt idx="321">
                  <c:v>110.89216019005607</c:v>
                </c:pt>
                <c:pt idx="322">
                  <c:v>110.91333404052197</c:v>
                </c:pt>
                <c:pt idx="323">
                  <c:v>111.03583034216179</c:v>
                </c:pt>
                <c:pt idx="324">
                  <c:v>111.41919396432309</c:v>
                </c:pt>
                <c:pt idx="325">
                  <c:v>111.76219082027499</c:v>
                </c:pt>
                <c:pt idx="326">
                  <c:v>111.87938709125157</c:v>
                </c:pt>
                <c:pt idx="327">
                  <c:v>112.06164794649753</c:v>
                </c:pt>
                <c:pt idx="328">
                  <c:v>112.87947488880259</c:v>
                </c:pt>
                <c:pt idx="329">
                  <c:v>113.65494151919654</c:v>
                </c:pt>
                <c:pt idx="330">
                  <c:v>114.47872643265383</c:v>
                </c:pt>
                <c:pt idx="331">
                  <c:v>115.33998146759041</c:v>
                </c:pt>
                <c:pt idx="332">
                  <c:v>116.26598465473153</c:v>
                </c:pt>
                <c:pt idx="333">
                  <c:v>115.97196033629855</c:v>
                </c:pt>
                <c:pt idx="334">
                  <c:v>114.99241141147753</c:v>
                </c:pt>
                <c:pt idx="335">
                  <c:v>112.55140046072042</c:v>
                </c:pt>
                <c:pt idx="336">
                  <c:v>110.20489902609728</c:v>
                </c:pt>
                <c:pt idx="337">
                  <c:v>110.61061272850378</c:v>
                </c:pt>
                <c:pt idx="338">
                  <c:v>111.97763831473434</c:v>
                </c:pt>
                <c:pt idx="339">
                  <c:v>113.61789059613592</c:v>
                </c:pt>
                <c:pt idx="340">
                  <c:v>114.66201693205251</c:v>
                </c:pt>
                <c:pt idx="341">
                  <c:v>114.90142640497596</c:v>
                </c:pt>
                <c:pt idx="342">
                  <c:v>114.93426548828214</c:v>
                </c:pt>
                <c:pt idx="343">
                  <c:v>114.27353603357454</c:v>
                </c:pt>
                <c:pt idx="344">
                  <c:v>113.79843273835442</c:v>
                </c:pt>
                <c:pt idx="345">
                  <c:v>113.9025665606345</c:v>
                </c:pt>
                <c:pt idx="346">
                  <c:v>114.71485309284012</c:v>
                </c:pt>
                <c:pt idx="347">
                  <c:v>115.48265959796781</c:v>
                </c:pt>
                <c:pt idx="348">
                  <c:v>115.99254509551602</c:v>
                </c:pt>
                <c:pt idx="349">
                  <c:v>116.91079455240741</c:v>
                </c:pt>
                <c:pt idx="350">
                  <c:v>116.64732919809011</c:v>
                </c:pt>
                <c:pt idx="351">
                  <c:v>116.28926061037464</c:v>
                </c:pt>
                <c:pt idx="352">
                  <c:v>116.69680126788549</c:v>
                </c:pt>
                <c:pt idx="353">
                  <c:v>117.31218023516745</c:v>
                </c:pt>
                <c:pt idx="354">
                  <c:v>117.94206560483694</c:v>
                </c:pt>
                <c:pt idx="355">
                  <c:v>118.77541747131666</c:v>
                </c:pt>
                <c:pt idx="356">
                  <c:v>119.4620903980623</c:v>
                </c:pt>
                <c:pt idx="357">
                  <c:v>120.49461820360943</c:v>
                </c:pt>
                <c:pt idx="358">
                  <c:v>121.35611318739996</c:v>
                </c:pt>
                <c:pt idx="359">
                  <c:v>122.47627972355635</c:v>
                </c:pt>
                <c:pt idx="360">
                  <c:v>123.89856618082719</c:v>
                </c:pt>
                <c:pt idx="361">
                  <c:v>124.87817695394618</c:v>
                </c:pt>
                <c:pt idx="362">
                  <c:v>124.58356170912477</c:v>
                </c:pt>
                <c:pt idx="363">
                  <c:v>123.17751284105373</c:v>
                </c:pt>
                <c:pt idx="364">
                  <c:v>122.28147732322884</c:v>
                </c:pt>
                <c:pt idx="365">
                  <c:v>122.92264284034805</c:v>
                </c:pt>
                <c:pt idx="366">
                  <c:v>124.16929909982669</c:v>
                </c:pt>
                <c:pt idx="367">
                  <c:v>125.36629817030773</c:v>
                </c:pt>
                <c:pt idx="368">
                  <c:v>126.70011148272025</c:v>
                </c:pt>
                <c:pt idx="369">
                  <c:v>127.25524560634835</c:v>
                </c:pt>
                <c:pt idx="370">
                  <c:v>127.95917368318003</c:v>
                </c:pt>
                <c:pt idx="371">
                  <c:v>127.62181427594969</c:v>
                </c:pt>
                <c:pt idx="372">
                  <c:v>128.01243909008554</c:v>
                </c:pt>
                <c:pt idx="373">
                  <c:v>128.03752051137624</c:v>
                </c:pt>
                <c:pt idx="374">
                  <c:v>128.3833894059577</c:v>
                </c:pt>
                <c:pt idx="375">
                  <c:v>127.6218142759497</c:v>
                </c:pt>
                <c:pt idx="376">
                  <c:v>128.01243909008554</c:v>
                </c:pt>
                <c:pt idx="377">
                  <c:v>128.03752051137624</c:v>
                </c:pt>
              </c:numCache>
            </c:numRef>
          </c:val>
          <c:smooth val="0"/>
          <c:extLst>
            <c:ext xmlns:c16="http://schemas.microsoft.com/office/drawing/2014/chart" uri="{C3380CC4-5D6E-409C-BE32-E72D297353CC}">
              <c16:uniqueId val="{00000000-B8BB-4CA9-943F-5676B0DED908}"/>
            </c:ext>
          </c:extLst>
        </c:ser>
        <c:ser>
          <c:idx val="1"/>
          <c:order val="1"/>
          <c:tx>
            <c:strRef>
              <c:f>Sheet1!$C$1</c:f>
              <c:strCache>
                <c:ptCount val="1"/>
                <c:pt idx="0">
                  <c:v>EUR</c:v>
                </c:pt>
              </c:strCache>
            </c:strRef>
          </c:tx>
          <c:spPr>
            <a:ln w="28575" cap="rnd">
              <a:solidFill>
                <a:srgbClr val="FFC000"/>
              </a:solidFill>
              <a:round/>
            </a:ln>
            <a:effectLst/>
          </c:spPr>
          <c:marker>
            <c:symbol val="none"/>
          </c:marker>
          <c:cat>
            <c:numRef>
              <c:f>Sheet1!$A$2:$A$380</c:f>
              <c:numCache>
                <c:formatCode>[$-2B]dd/mmm/yy</c:formatCode>
                <c:ptCount val="379"/>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44589</c:v>
                </c:pt>
                <c:pt idx="269" formatCode="[$-2B]dd\,\ mmm\,\ yy">
                  <c:v>44592</c:v>
                </c:pt>
                <c:pt idx="270" formatCode="[$-2B]dd\,\ mmm\,\ yy">
                  <c:v>44593</c:v>
                </c:pt>
                <c:pt idx="271" formatCode="[$-2B]dd\,\ mmm\,\ yy">
                  <c:v>44594</c:v>
                </c:pt>
                <c:pt idx="272" formatCode="[$-2B]dd\,\ mmm\,\ yy">
                  <c:v>44595</c:v>
                </c:pt>
                <c:pt idx="273" formatCode="[$-2B]dd\,\ mmm\,\ yy">
                  <c:v>44596</c:v>
                </c:pt>
                <c:pt idx="274" formatCode="[$-2B]dd\,\ mmm\,\ yy">
                  <c:v>44599</c:v>
                </c:pt>
                <c:pt idx="275" formatCode="[$-2B]dd\,\ mmm\,\ yy">
                  <c:v>44600</c:v>
                </c:pt>
                <c:pt idx="276" formatCode="[$-2B]dd\,\ mmm\,\ yy">
                  <c:v>44601</c:v>
                </c:pt>
                <c:pt idx="277" formatCode="[$-2B]dd\,\ mmm\,\ yy">
                  <c:v>44602</c:v>
                </c:pt>
                <c:pt idx="278" formatCode="[$-2B]dd\,\ mmm\,\ yy">
                  <c:v>44603</c:v>
                </c:pt>
                <c:pt idx="279" formatCode="[$-2B]dd\,\ mmm\,\ yy">
                  <c:v>44606</c:v>
                </c:pt>
                <c:pt idx="280" formatCode="[$-2B]dd\,\ mmm\,\ yy">
                  <c:v>44607</c:v>
                </c:pt>
                <c:pt idx="281" formatCode="[$-2B]dd\,\ mmm\,\ yy">
                  <c:v>44608</c:v>
                </c:pt>
                <c:pt idx="282" formatCode="[$-2B]dd\,\ mmm\,\ yy">
                  <c:v>44609</c:v>
                </c:pt>
                <c:pt idx="283" formatCode="[$-2B]dd\,\ mmm\,\ yy">
                  <c:v>44610</c:v>
                </c:pt>
                <c:pt idx="284" formatCode="[$-2B]dd\,\ mmm\,\ yy">
                  <c:v>44613</c:v>
                </c:pt>
                <c:pt idx="285" formatCode="[$-2B]dd\,\ mmm\,\ yy">
                  <c:v>44614</c:v>
                </c:pt>
                <c:pt idx="286" formatCode="[$-2B]dd\,\ mmm\,\ yy">
                  <c:v>44615</c:v>
                </c:pt>
                <c:pt idx="287" formatCode="[$-2B]dd\,\ mmm\,\ yy">
                  <c:v>44616</c:v>
                </c:pt>
                <c:pt idx="288" formatCode="[$-2B]dd\,\ mmm\,\ yy">
                  <c:v>44617</c:v>
                </c:pt>
                <c:pt idx="289" formatCode="[$-2B]dd\,\ mmm\,\ yy">
                  <c:v>44620</c:v>
                </c:pt>
                <c:pt idx="290" formatCode="[$-2B]dd\,\ mmm\,\ yy">
                  <c:v>44621</c:v>
                </c:pt>
                <c:pt idx="291" formatCode="[$-2B]dd\,\ mmm\,\ yy">
                  <c:v>44622</c:v>
                </c:pt>
                <c:pt idx="292" formatCode="[$-2B]dd\,\ mmm\,\ yy">
                  <c:v>44623</c:v>
                </c:pt>
                <c:pt idx="293" formatCode="[$-2B]dd\,\ mmm\,\ yy">
                  <c:v>44624</c:v>
                </c:pt>
                <c:pt idx="294" formatCode="[$-2B]dd\,\ mmm\,\ yy">
                  <c:v>44627</c:v>
                </c:pt>
                <c:pt idx="295" formatCode="[$-2B]dd\,\ mmm\,\ yy">
                  <c:v>44628</c:v>
                </c:pt>
                <c:pt idx="296" formatCode="[$-2B]dd\,\ mmm\,\ yy">
                  <c:v>44629</c:v>
                </c:pt>
                <c:pt idx="297" formatCode="[$-2B]dd\,\ mmm\,\ yy">
                  <c:v>44630</c:v>
                </c:pt>
                <c:pt idx="298" formatCode="[$-2B]dd\,\ mmm\,\ yy">
                  <c:v>44631</c:v>
                </c:pt>
                <c:pt idx="299" formatCode="[$-2B]dd\,\ mmm\,\ yy">
                  <c:v>44634</c:v>
                </c:pt>
                <c:pt idx="300" formatCode="[$-2B]dd\,\ mmm\,\ yy">
                  <c:v>44635</c:v>
                </c:pt>
                <c:pt idx="301" formatCode="[$-2B]dd\,\ mmm\,\ yy">
                  <c:v>44636</c:v>
                </c:pt>
                <c:pt idx="302" formatCode="[$-2B]dd\,\ mmm\,\ yy">
                  <c:v>44637</c:v>
                </c:pt>
                <c:pt idx="303" formatCode="[$-2B]dd\,\ mmm\,\ yy">
                  <c:v>44638</c:v>
                </c:pt>
                <c:pt idx="304" formatCode="[$-2B]dd\,\ mmm\,\ yy">
                  <c:v>44641</c:v>
                </c:pt>
                <c:pt idx="305" formatCode="[$-2B]dd\,\ mmm\,\ yy">
                  <c:v>44642</c:v>
                </c:pt>
                <c:pt idx="306" formatCode="[$-2B]dd\,\ mmm\,\ yy">
                  <c:v>44643</c:v>
                </c:pt>
                <c:pt idx="307" formatCode="[$-2B]dd\,\ mmm\,\ yy">
                  <c:v>44644</c:v>
                </c:pt>
                <c:pt idx="308" formatCode="[$-2B]dd\,\ mmm\,\ yy">
                  <c:v>44645</c:v>
                </c:pt>
                <c:pt idx="309" formatCode="[$-2B]dd\,\ mmm\,\ yy">
                  <c:v>44648</c:v>
                </c:pt>
                <c:pt idx="310" formatCode="[$-2B]dd\,\ mmm\,\ yy">
                  <c:v>44649</c:v>
                </c:pt>
                <c:pt idx="311" formatCode="[$-2B]dd\,\ mmm\,\ yy">
                  <c:v>44650</c:v>
                </c:pt>
                <c:pt idx="312" formatCode="[$-2B]dd\,\ mmm\,\ yy">
                  <c:v>44651</c:v>
                </c:pt>
                <c:pt idx="313" formatCode="[$-2B]dd\,\ mmm\,\ yy">
                  <c:v>44652</c:v>
                </c:pt>
                <c:pt idx="314" formatCode="[$-2B]dd\,\ mmm\,\ yy">
                  <c:v>44655</c:v>
                </c:pt>
                <c:pt idx="315" formatCode="[$-2B]dd\,\ mmm\,\ yy">
                  <c:v>44656</c:v>
                </c:pt>
                <c:pt idx="316" formatCode="[$-2B]dd\,\ mmm\,\ yy">
                  <c:v>44657</c:v>
                </c:pt>
                <c:pt idx="317" formatCode="[$-2B]dd\,\ mmm\,\ yy">
                  <c:v>44658</c:v>
                </c:pt>
                <c:pt idx="318" formatCode="[$-2B]dd\,\ mmm\,\ yy">
                  <c:v>44659</c:v>
                </c:pt>
                <c:pt idx="319" formatCode="[$-2B]dd\,\ mmm\,\ yy">
                  <c:v>44662</c:v>
                </c:pt>
                <c:pt idx="320" formatCode="[$-2B]dd\,\ mmm\,\ yy">
                  <c:v>44663</c:v>
                </c:pt>
                <c:pt idx="321" formatCode="[$-2B]dd\,\ mmm\,\ yy">
                  <c:v>44664</c:v>
                </c:pt>
                <c:pt idx="322" formatCode="[$-2B]dd\,\ mmm\,\ yy">
                  <c:v>44665</c:v>
                </c:pt>
                <c:pt idx="323" formatCode="[$-2B]dd\,\ mmm\,\ yy">
                  <c:v>44666</c:v>
                </c:pt>
                <c:pt idx="324" formatCode="[$-2B]dd\,\ mmm\,\ yy">
                  <c:v>44669</c:v>
                </c:pt>
                <c:pt idx="325" formatCode="[$-2B]dd\,\ mmm\,\ yy">
                  <c:v>44670</c:v>
                </c:pt>
                <c:pt idx="326" formatCode="[$-2B]dd\,\ mmm\,\ yy">
                  <c:v>44671</c:v>
                </c:pt>
                <c:pt idx="327" formatCode="[$-2B]dd\,\ mmm\,\ yy">
                  <c:v>44672</c:v>
                </c:pt>
                <c:pt idx="328" formatCode="[$-2B]dd\,\ mmm\,\ yy">
                  <c:v>44673</c:v>
                </c:pt>
                <c:pt idx="329" formatCode="[$-2B]dd\,\ mmm\,\ yy">
                  <c:v>44676</c:v>
                </c:pt>
                <c:pt idx="330" formatCode="[$-2B]dd\,\ mmm\,\ yy">
                  <c:v>44677</c:v>
                </c:pt>
                <c:pt idx="331" formatCode="[$-2B]dd\,\ mmm\,\ yy">
                  <c:v>44678</c:v>
                </c:pt>
                <c:pt idx="332" formatCode="[$-2B]dd\,\ mmm\,\ yy">
                  <c:v>44679</c:v>
                </c:pt>
                <c:pt idx="333" formatCode="[$-2B]dd\,\ mmm\,\ yy">
                  <c:v>44680</c:v>
                </c:pt>
                <c:pt idx="334" formatCode="[$-2B]dd\,\ mmm\,\ yy">
                  <c:v>44683</c:v>
                </c:pt>
                <c:pt idx="335" formatCode="[$-2B]dd\,\ mmm\,\ yy">
                  <c:v>44684</c:v>
                </c:pt>
                <c:pt idx="336" formatCode="[$-2B]dd\,\ mmm\,\ yy">
                  <c:v>44685</c:v>
                </c:pt>
                <c:pt idx="337" formatCode="[$-2B]dd\,\ mmm\,\ yy">
                  <c:v>44686</c:v>
                </c:pt>
                <c:pt idx="338" formatCode="[$-2B]dd\,\ mmm\,\ yy">
                  <c:v>44687</c:v>
                </c:pt>
                <c:pt idx="339" formatCode="[$-2B]dd\,\ mmm\,\ yy">
                  <c:v>44690</c:v>
                </c:pt>
                <c:pt idx="340" formatCode="[$-2B]dd\,\ mmm\,\ yy">
                  <c:v>44691</c:v>
                </c:pt>
                <c:pt idx="341" formatCode="[$-2B]dd\,\ mmm\,\ yy">
                  <c:v>44692</c:v>
                </c:pt>
                <c:pt idx="342" formatCode="[$-2B]dd\,\ mmm\,\ yy">
                  <c:v>44693</c:v>
                </c:pt>
                <c:pt idx="343" formatCode="[$-2B]dd\,\ mmm\,\ yy">
                  <c:v>44694</c:v>
                </c:pt>
                <c:pt idx="344" formatCode="[$-2B]dd\,\ mmm\,\ yy">
                  <c:v>44697</c:v>
                </c:pt>
                <c:pt idx="345" formatCode="[$-2B]dd\,\ mmm\,\ yy">
                  <c:v>44698</c:v>
                </c:pt>
                <c:pt idx="346" formatCode="[$-2B]dd\,\ mmm\,\ yy">
                  <c:v>44699</c:v>
                </c:pt>
                <c:pt idx="347" formatCode="[$-2B]dd\,\ mmm\,\ yy">
                  <c:v>44700</c:v>
                </c:pt>
                <c:pt idx="348" formatCode="[$-2B]dd\,\ mmm\,\ yy">
                  <c:v>44701</c:v>
                </c:pt>
                <c:pt idx="349" formatCode="[$-2B]dd\,\ mmm\,\ yy">
                  <c:v>44704</c:v>
                </c:pt>
                <c:pt idx="350" formatCode="[$-2B]dd\,\ mmm\,\ yy">
                  <c:v>44705</c:v>
                </c:pt>
                <c:pt idx="351" formatCode="[$-2B]dd\,\ mmm\,\ yy">
                  <c:v>44706</c:v>
                </c:pt>
                <c:pt idx="352" formatCode="[$-2B]dd\,\ mmm\,\ yy">
                  <c:v>44707</c:v>
                </c:pt>
                <c:pt idx="353" formatCode="[$-2B]dd\,\ mmm\,\ yy">
                  <c:v>44708</c:v>
                </c:pt>
                <c:pt idx="354" formatCode="[$-2B]dd\,\ mmm\,\ yy">
                  <c:v>44711</c:v>
                </c:pt>
                <c:pt idx="355" formatCode="[$-2B]dd\,\ mmm\,\ yy">
                  <c:v>44712</c:v>
                </c:pt>
                <c:pt idx="356" formatCode="[$-2B]dd\,\ mmm\,\ yy">
                  <c:v>44713</c:v>
                </c:pt>
                <c:pt idx="357" formatCode="[$-2B]dd\,\ mmm\,\ yy">
                  <c:v>44714</c:v>
                </c:pt>
                <c:pt idx="358" formatCode="[$-2B]dd\,\ mmm\,\ yy">
                  <c:v>44715</c:v>
                </c:pt>
                <c:pt idx="359" formatCode="[$-2B]dd\,\ mmm\,\ yy">
                  <c:v>44718</c:v>
                </c:pt>
                <c:pt idx="360" formatCode="[$-2B]dd\,\ mmm\,\ yy">
                  <c:v>44719</c:v>
                </c:pt>
                <c:pt idx="361" formatCode="[$-2B]dd\,\ mmm\,\ yy">
                  <c:v>44720</c:v>
                </c:pt>
                <c:pt idx="362" formatCode="[$-2B]dd\,\ mmm\,\ yy">
                  <c:v>44721</c:v>
                </c:pt>
                <c:pt idx="363" formatCode="[$-2B]dd\,\ mmm\,\ yy">
                  <c:v>44722</c:v>
                </c:pt>
                <c:pt idx="364" formatCode="[$-2B]dd\,\ mmm\,\ yy">
                  <c:v>44725</c:v>
                </c:pt>
                <c:pt idx="365" formatCode="[$-2B]dd\,\ mmm\,\ yy">
                  <c:v>44726</c:v>
                </c:pt>
                <c:pt idx="366" formatCode="[$-2B]dd\,\ mmm\,\ yy">
                  <c:v>44727</c:v>
                </c:pt>
                <c:pt idx="367" formatCode="[$-2B]dd\,\ mmm\,\ yy">
                  <c:v>44728</c:v>
                </c:pt>
                <c:pt idx="368" formatCode="[$-2B]dd\,\ mmm\,\ yy">
                  <c:v>44729</c:v>
                </c:pt>
                <c:pt idx="369" formatCode="[$-2B]dd\,\ mmm\,\ yy">
                  <c:v>44732</c:v>
                </c:pt>
                <c:pt idx="370" formatCode="[$-2B]dd\,\ mmm\,\ yy">
                  <c:v>44733</c:v>
                </c:pt>
                <c:pt idx="371" formatCode="[$-2B]dd\,\ mmm\,\ yy">
                  <c:v>44734</c:v>
                </c:pt>
                <c:pt idx="372" formatCode="[$-2B]dd\,\ mmm\,\ yy">
                  <c:v>44735</c:v>
                </c:pt>
                <c:pt idx="373" formatCode="[$-2B]dd\,\ mmm\,\ yy">
                  <c:v>44736</c:v>
                </c:pt>
                <c:pt idx="374" formatCode="[$-2B]dd\,\ mmm\,\ yy">
                  <c:v>44739</c:v>
                </c:pt>
                <c:pt idx="375" formatCode="[$-2B]dd\,\ mmm\,\ yy">
                  <c:v>44740</c:v>
                </c:pt>
                <c:pt idx="376" formatCode="[$-2B]dd\,\ mmm\,\ yy">
                  <c:v>44741</c:v>
                </c:pt>
                <c:pt idx="377" formatCode="[$-2B]dd\,\ mmm\,\ yy">
                  <c:v>44742</c:v>
                </c:pt>
              </c:numCache>
            </c:numRef>
          </c:cat>
          <c:val>
            <c:numRef>
              <c:f>Sheet1!$C$2:$C$380</c:f>
              <c:numCache>
                <c:formatCode>_(* #,##0_);_(* \(#,##0\);_(* "-"??_);_(@_)</c:formatCode>
                <c:ptCount val="379"/>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pt idx="311">
                  <c:v>119.2966098534291</c:v>
                </c:pt>
                <c:pt idx="312">
                  <c:v>120.34009894471491</c:v>
                </c:pt>
                <c:pt idx="313">
                  <c:v>121.10324461439424</c:v>
                </c:pt>
                <c:pt idx="314">
                  <c:v>122.27446483180407</c:v>
                </c:pt>
                <c:pt idx="315">
                  <c:v>123.1429616369269</c:v>
                </c:pt>
                <c:pt idx="316">
                  <c:v>123.55201915834586</c:v>
                </c:pt>
                <c:pt idx="317">
                  <c:v>123.46617774775625</c:v>
                </c:pt>
                <c:pt idx="318">
                  <c:v>124.41462465966528</c:v>
                </c:pt>
                <c:pt idx="319">
                  <c:v>125.08358588327283</c:v>
                </c:pt>
                <c:pt idx="320">
                  <c:v>124.41946400093332</c:v>
                </c:pt>
                <c:pt idx="321">
                  <c:v>125.55492316448469</c:v>
                </c:pt>
                <c:pt idx="322">
                  <c:v>125.65850209188562</c:v>
                </c:pt>
                <c:pt idx="323">
                  <c:v>125.91572027476506</c:v>
                </c:pt>
                <c:pt idx="324">
                  <c:v>125.60422515854138</c:v>
                </c:pt>
                <c:pt idx="325">
                  <c:v>125.48350398179726</c:v>
                </c:pt>
                <c:pt idx="326">
                  <c:v>126.59094506886156</c:v>
                </c:pt>
                <c:pt idx="327">
                  <c:v>127.81251873014581</c:v>
                </c:pt>
                <c:pt idx="328">
                  <c:v>129.227350772649</c:v>
                </c:pt>
                <c:pt idx="329">
                  <c:v>131.12113137938081</c:v>
                </c:pt>
                <c:pt idx="330">
                  <c:v>133.46824668280041</c:v>
                </c:pt>
                <c:pt idx="331">
                  <c:v>133.58251028376915</c:v>
                </c:pt>
                <c:pt idx="332">
                  <c:v>135.17728098719496</c:v>
                </c:pt>
                <c:pt idx="333">
                  <c:v>135.10591117399821</c:v>
                </c:pt>
                <c:pt idx="334">
                  <c:v>133.67182766041893</c:v>
                </c:pt>
                <c:pt idx="335">
                  <c:v>129.94657837541365</c:v>
                </c:pt>
                <c:pt idx="336">
                  <c:v>127.41794136392586</c:v>
                </c:pt>
                <c:pt idx="337">
                  <c:v>128.25067158494025</c:v>
                </c:pt>
                <c:pt idx="338">
                  <c:v>129.97033846653912</c:v>
                </c:pt>
                <c:pt idx="339">
                  <c:v>133.2125603864732</c:v>
                </c:pt>
                <c:pt idx="340">
                  <c:v>135.0574227326463</c:v>
                </c:pt>
                <c:pt idx="341">
                  <c:v>134.74451324824111</c:v>
                </c:pt>
                <c:pt idx="342">
                  <c:v>133.75567124547848</c:v>
                </c:pt>
                <c:pt idx="343">
                  <c:v>132.94956254286228</c:v>
                </c:pt>
                <c:pt idx="344">
                  <c:v>132.15857210733964</c:v>
                </c:pt>
                <c:pt idx="345">
                  <c:v>131.70420389508769</c:v>
                </c:pt>
                <c:pt idx="346">
                  <c:v>131.47683834107423</c:v>
                </c:pt>
                <c:pt idx="347">
                  <c:v>131.98407295083638</c:v>
                </c:pt>
                <c:pt idx="348">
                  <c:v>133.06570709486846</c:v>
                </c:pt>
                <c:pt idx="349">
                  <c:v>133.5044554352134</c:v>
                </c:pt>
                <c:pt idx="350">
                  <c:v>133.42927460059215</c:v>
                </c:pt>
                <c:pt idx="351">
                  <c:v>132.06853839801801</c:v>
                </c:pt>
                <c:pt idx="352">
                  <c:v>133.58529964501969</c:v>
                </c:pt>
                <c:pt idx="353">
                  <c:v>133.95171590694932</c:v>
                </c:pt>
                <c:pt idx="354">
                  <c:v>134.97193974429283</c:v>
                </c:pt>
                <c:pt idx="355">
                  <c:v>135.36892443767309</c:v>
                </c:pt>
                <c:pt idx="356">
                  <c:v>136.29178295234223</c:v>
                </c:pt>
                <c:pt idx="357">
                  <c:v>138.1399667465611</c:v>
                </c:pt>
                <c:pt idx="358">
                  <c:v>138.58284773519901</c:v>
                </c:pt>
                <c:pt idx="359">
                  <c:v>139.84610676343269</c:v>
                </c:pt>
                <c:pt idx="360">
                  <c:v>143.15379623621004</c:v>
                </c:pt>
                <c:pt idx="361">
                  <c:v>145.99602911978801</c:v>
                </c:pt>
                <c:pt idx="362">
                  <c:v>146.08270728198548</c:v>
                </c:pt>
                <c:pt idx="363">
                  <c:v>143.84260820685756</c:v>
                </c:pt>
                <c:pt idx="364">
                  <c:v>143.86848674297769</c:v>
                </c:pt>
                <c:pt idx="365">
                  <c:v>143.0257774598133</c:v>
                </c:pt>
                <c:pt idx="366">
                  <c:v>144.25778519403769</c:v>
                </c:pt>
                <c:pt idx="367">
                  <c:v>145.37232712977459</c:v>
                </c:pt>
                <c:pt idx="368">
                  <c:v>147.37836343531123</c:v>
                </c:pt>
                <c:pt idx="369">
                  <c:v>148.26643181607466</c:v>
                </c:pt>
                <c:pt idx="370">
                  <c:v>148.5901426116038</c:v>
                </c:pt>
                <c:pt idx="371">
                  <c:v>147.56873961985585</c:v>
                </c:pt>
                <c:pt idx="372">
                  <c:v>148.10510475749487</c:v>
                </c:pt>
                <c:pt idx="373">
                  <c:v>148.8632926119835</c:v>
                </c:pt>
                <c:pt idx="374">
                  <c:v>151.04594607357018</c:v>
                </c:pt>
                <c:pt idx="375">
                  <c:v>147.56873961985588</c:v>
                </c:pt>
                <c:pt idx="376">
                  <c:v>148.1051047574949</c:v>
                </c:pt>
                <c:pt idx="377">
                  <c:v>148.86329261198352</c:v>
                </c:pt>
              </c:numCache>
            </c:numRef>
          </c:val>
          <c:smooth val="0"/>
          <c:extLst>
            <c:ext xmlns:c16="http://schemas.microsoft.com/office/drawing/2014/chart" uri="{C3380CC4-5D6E-409C-BE32-E72D297353CC}">
              <c16:uniqueId val="{00000001-B8BB-4CA9-943F-5676B0DED908}"/>
            </c:ext>
          </c:extLst>
        </c:ser>
        <c:ser>
          <c:idx val="2"/>
          <c:order val="2"/>
          <c:tx>
            <c:strRef>
              <c:f>Sheet1!$D$1</c:f>
              <c:strCache>
                <c:ptCount val="1"/>
                <c:pt idx="0">
                  <c:v>RUB</c:v>
                </c:pt>
              </c:strCache>
            </c:strRef>
          </c:tx>
          <c:spPr>
            <a:ln w="28575" cap="rnd">
              <a:solidFill>
                <a:srgbClr val="C00000"/>
              </a:solidFill>
              <a:round/>
            </a:ln>
            <a:effectLst/>
          </c:spPr>
          <c:marker>
            <c:symbol val="none"/>
          </c:marker>
          <c:cat>
            <c:numRef>
              <c:f>Sheet1!$A$2:$A$380</c:f>
              <c:numCache>
                <c:formatCode>[$-2B]dd/mmm/yy</c:formatCode>
                <c:ptCount val="379"/>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44589</c:v>
                </c:pt>
                <c:pt idx="269" formatCode="[$-2B]dd\,\ mmm\,\ yy">
                  <c:v>44592</c:v>
                </c:pt>
                <c:pt idx="270" formatCode="[$-2B]dd\,\ mmm\,\ yy">
                  <c:v>44593</c:v>
                </c:pt>
                <c:pt idx="271" formatCode="[$-2B]dd\,\ mmm\,\ yy">
                  <c:v>44594</c:v>
                </c:pt>
                <c:pt idx="272" formatCode="[$-2B]dd\,\ mmm\,\ yy">
                  <c:v>44595</c:v>
                </c:pt>
                <c:pt idx="273" formatCode="[$-2B]dd\,\ mmm\,\ yy">
                  <c:v>44596</c:v>
                </c:pt>
                <c:pt idx="274" formatCode="[$-2B]dd\,\ mmm\,\ yy">
                  <c:v>44599</c:v>
                </c:pt>
                <c:pt idx="275" formatCode="[$-2B]dd\,\ mmm\,\ yy">
                  <c:v>44600</c:v>
                </c:pt>
                <c:pt idx="276" formatCode="[$-2B]dd\,\ mmm\,\ yy">
                  <c:v>44601</c:v>
                </c:pt>
                <c:pt idx="277" formatCode="[$-2B]dd\,\ mmm\,\ yy">
                  <c:v>44602</c:v>
                </c:pt>
                <c:pt idx="278" formatCode="[$-2B]dd\,\ mmm\,\ yy">
                  <c:v>44603</c:v>
                </c:pt>
                <c:pt idx="279" formatCode="[$-2B]dd\,\ mmm\,\ yy">
                  <c:v>44606</c:v>
                </c:pt>
                <c:pt idx="280" formatCode="[$-2B]dd\,\ mmm\,\ yy">
                  <c:v>44607</c:v>
                </c:pt>
                <c:pt idx="281" formatCode="[$-2B]dd\,\ mmm\,\ yy">
                  <c:v>44608</c:v>
                </c:pt>
                <c:pt idx="282" formatCode="[$-2B]dd\,\ mmm\,\ yy">
                  <c:v>44609</c:v>
                </c:pt>
                <c:pt idx="283" formatCode="[$-2B]dd\,\ mmm\,\ yy">
                  <c:v>44610</c:v>
                </c:pt>
                <c:pt idx="284" formatCode="[$-2B]dd\,\ mmm\,\ yy">
                  <c:v>44613</c:v>
                </c:pt>
                <c:pt idx="285" formatCode="[$-2B]dd\,\ mmm\,\ yy">
                  <c:v>44614</c:v>
                </c:pt>
                <c:pt idx="286" formatCode="[$-2B]dd\,\ mmm\,\ yy">
                  <c:v>44615</c:v>
                </c:pt>
                <c:pt idx="287" formatCode="[$-2B]dd\,\ mmm\,\ yy">
                  <c:v>44616</c:v>
                </c:pt>
                <c:pt idx="288" formatCode="[$-2B]dd\,\ mmm\,\ yy">
                  <c:v>44617</c:v>
                </c:pt>
                <c:pt idx="289" formatCode="[$-2B]dd\,\ mmm\,\ yy">
                  <c:v>44620</c:v>
                </c:pt>
                <c:pt idx="290" formatCode="[$-2B]dd\,\ mmm\,\ yy">
                  <c:v>44621</c:v>
                </c:pt>
                <c:pt idx="291" formatCode="[$-2B]dd\,\ mmm\,\ yy">
                  <c:v>44622</c:v>
                </c:pt>
                <c:pt idx="292" formatCode="[$-2B]dd\,\ mmm\,\ yy">
                  <c:v>44623</c:v>
                </c:pt>
                <c:pt idx="293" formatCode="[$-2B]dd\,\ mmm\,\ yy">
                  <c:v>44624</c:v>
                </c:pt>
                <c:pt idx="294" formatCode="[$-2B]dd\,\ mmm\,\ yy">
                  <c:v>44627</c:v>
                </c:pt>
                <c:pt idx="295" formatCode="[$-2B]dd\,\ mmm\,\ yy">
                  <c:v>44628</c:v>
                </c:pt>
                <c:pt idx="296" formatCode="[$-2B]dd\,\ mmm\,\ yy">
                  <c:v>44629</c:v>
                </c:pt>
                <c:pt idx="297" formatCode="[$-2B]dd\,\ mmm\,\ yy">
                  <c:v>44630</c:v>
                </c:pt>
                <c:pt idx="298" formatCode="[$-2B]dd\,\ mmm\,\ yy">
                  <c:v>44631</c:v>
                </c:pt>
                <c:pt idx="299" formatCode="[$-2B]dd\,\ mmm\,\ yy">
                  <c:v>44634</c:v>
                </c:pt>
                <c:pt idx="300" formatCode="[$-2B]dd\,\ mmm\,\ yy">
                  <c:v>44635</c:v>
                </c:pt>
                <c:pt idx="301" formatCode="[$-2B]dd\,\ mmm\,\ yy">
                  <c:v>44636</c:v>
                </c:pt>
                <c:pt idx="302" formatCode="[$-2B]dd\,\ mmm\,\ yy">
                  <c:v>44637</c:v>
                </c:pt>
                <c:pt idx="303" formatCode="[$-2B]dd\,\ mmm\,\ yy">
                  <c:v>44638</c:v>
                </c:pt>
                <c:pt idx="304" formatCode="[$-2B]dd\,\ mmm\,\ yy">
                  <c:v>44641</c:v>
                </c:pt>
                <c:pt idx="305" formatCode="[$-2B]dd\,\ mmm\,\ yy">
                  <c:v>44642</c:v>
                </c:pt>
                <c:pt idx="306" formatCode="[$-2B]dd\,\ mmm\,\ yy">
                  <c:v>44643</c:v>
                </c:pt>
                <c:pt idx="307" formatCode="[$-2B]dd\,\ mmm\,\ yy">
                  <c:v>44644</c:v>
                </c:pt>
                <c:pt idx="308" formatCode="[$-2B]dd\,\ mmm\,\ yy">
                  <c:v>44645</c:v>
                </c:pt>
                <c:pt idx="309" formatCode="[$-2B]dd\,\ mmm\,\ yy">
                  <c:v>44648</c:v>
                </c:pt>
                <c:pt idx="310" formatCode="[$-2B]dd\,\ mmm\,\ yy">
                  <c:v>44649</c:v>
                </c:pt>
                <c:pt idx="311" formatCode="[$-2B]dd\,\ mmm\,\ yy">
                  <c:v>44650</c:v>
                </c:pt>
                <c:pt idx="312" formatCode="[$-2B]dd\,\ mmm\,\ yy">
                  <c:v>44651</c:v>
                </c:pt>
                <c:pt idx="313" formatCode="[$-2B]dd\,\ mmm\,\ yy">
                  <c:v>44652</c:v>
                </c:pt>
                <c:pt idx="314" formatCode="[$-2B]dd\,\ mmm\,\ yy">
                  <c:v>44655</c:v>
                </c:pt>
                <c:pt idx="315" formatCode="[$-2B]dd\,\ mmm\,\ yy">
                  <c:v>44656</c:v>
                </c:pt>
                <c:pt idx="316" formatCode="[$-2B]dd\,\ mmm\,\ yy">
                  <c:v>44657</c:v>
                </c:pt>
                <c:pt idx="317" formatCode="[$-2B]dd\,\ mmm\,\ yy">
                  <c:v>44658</c:v>
                </c:pt>
                <c:pt idx="318" formatCode="[$-2B]dd\,\ mmm\,\ yy">
                  <c:v>44659</c:v>
                </c:pt>
                <c:pt idx="319" formatCode="[$-2B]dd\,\ mmm\,\ yy">
                  <c:v>44662</c:v>
                </c:pt>
                <c:pt idx="320" formatCode="[$-2B]dd\,\ mmm\,\ yy">
                  <c:v>44663</c:v>
                </c:pt>
                <c:pt idx="321" formatCode="[$-2B]dd\,\ mmm\,\ yy">
                  <c:v>44664</c:v>
                </c:pt>
                <c:pt idx="322" formatCode="[$-2B]dd\,\ mmm\,\ yy">
                  <c:v>44665</c:v>
                </c:pt>
                <c:pt idx="323" formatCode="[$-2B]dd\,\ mmm\,\ yy">
                  <c:v>44666</c:v>
                </c:pt>
                <c:pt idx="324" formatCode="[$-2B]dd\,\ mmm\,\ yy">
                  <c:v>44669</c:v>
                </c:pt>
                <c:pt idx="325" formatCode="[$-2B]dd\,\ mmm\,\ yy">
                  <c:v>44670</c:v>
                </c:pt>
                <c:pt idx="326" formatCode="[$-2B]dd\,\ mmm\,\ yy">
                  <c:v>44671</c:v>
                </c:pt>
                <c:pt idx="327" formatCode="[$-2B]dd\,\ mmm\,\ yy">
                  <c:v>44672</c:v>
                </c:pt>
                <c:pt idx="328" formatCode="[$-2B]dd\,\ mmm\,\ yy">
                  <c:v>44673</c:v>
                </c:pt>
                <c:pt idx="329" formatCode="[$-2B]dd\,\ mmm\,\ yy">
                  <c:v>44676</c:v>
                </c:pt>
                <c:pt idx="330" formatCode="[$-2B]dd\,\ mmm\,\ yy">
                  <c:v>44677</c:v>
                </c:pt>
                <c:pt idx="331" formatCode="[$-2B]dd\,\ mmm\,\ yy">
                  <c:v>44678</c:v>
                </c:pt>
                <c:pt idx="332" formatCode="[$-2B]dd\,\ mmm\,\ yy">
                  <c:v>44679</c:v>
                </c:pt>
                <c:pt idx="333" formatCode="[$-2B]dd\,\ mmm\,\ yy">
                  <c:v>44680</c:v>
                </c:pt>
                <c:pt idx="334" formatCode="[$-2B]dd\,\ mmm\,\ yy">
                  <c:v>44683</c:v>
                </c:pt>
                <c:pt idx="335" formatCode="[$-2B]dd\,\ mmm\,\ yy">
                  <c:v>44684</c:v>
                </c:pt>
                <c:pt idx="336" formatCode="[$-2B]dd\,\ mmm\,\ yy">
                  <c:v>44685</c:v>
                </c:pt>
                <c:pt idx="337" formatCode="[$-2B]dd\,\ mmm\,\ yy">
                  <c:v>44686</c:v>
                </c:pt>
                <c:pt idx="338" formatCode="[$-2B]dd\,\ mmm\,\ yy">
                  <c:v>44687</c:v>
                </c:pt>
                <c:pt idx="339" formatCode="[$-2B]dd\,\ mmm\,\ yy">
                  <c:v>44690</c:v>
                </c:pt>
                <c:pt idx="340" formatCode="[$-2B]dd\,\ mmm\,\ yy">
                  <c:v>44691</c:v>
                </c:pt>
                <c:pt idx="341" formatCode="[$-2B]dd\,\ mmm\,\ yy">
                  <c:v>44692</c:v>
                </c:pt>
                <c:pt idx="342" formatCode="[$-2B]dd\,\ mmm\,\ yy">
                  <c:v>44693</c:v>
                </c:pt>
                <c:pt idx="343" formatCode="[$-2B]dd\,\ mmm\,\ yy">
                  <c:v>44694</c:v>
                </c:pt>
                <c:pt idx="344" formatCode="[$-2B]dd\,\ mmm\,\ yy">
                  <c:v>44697</c:v>
                </c:pt>
                <c:pt idx="345" formatCode="[$-2B]dd\,\ mmm\,\ yy">
                  <c:v>44698</c:v>
                </c:pt>
                <c:pt idx="346" formatCode="[$-2B]dd\,\ mmm\,\ yy">
                  <c:v>44699</c:v>
                </c:pt>
                <c:pt idx="347" formatCode="[$-2B]dd\,\ mmm\,\ yy">
                  <c:v>44700</c:v>
                </c:pt>
                <c:pt idx="348" formatCode="[$-2B]dd\,\ mmm\,\ yy">
                  <c:v>44701</c:v>
                </c:pt>
                <c:pt idx="349" formatCode="[$-2B]dd\,\ mmm\,\ yy">
                  <c:v>44704</c:v>
                </c:pt>
                <c:pt idx="350" formatCode="[$-2B]dd\,\ mmm\,\ yy">
                  <c:v>44705</c:v>
                </c:pt>
                <c:pt idx="351" formatCode="[$-2B]dd\,\ mmm\,\ yy">
                  <c:v>44706</c:v>
                </c:pt>
                <c:pt idx="352" formatCode="[$-2B]dd\,\ mmm\,\ yy">
                  <c:v>44707</c:v>
                </c:pt>
                <c:pt idx="353" formatCode="[$-2B]dd\,\ mmm\,\ yy">
                  <c:v>44708</c:v>
                </c:pt>
                <c:pt idx="354" formatCode="[$-2B]dd\,\ mmm\,\ yy">
                  <c:v>44711</c:v>
                </c:pt>
                <c:pt idx="355" formatCode="[$-2B]dd\,\ mmm\,\ yy">
                  <c:v>44712</c:v>
                </c:pt>
                <c:pt idx="356" formatCode="[$-2B]dd\,\ mmm\,\ yy">
                  <c:v>44713</c:v>
                </c:pt>
                <c:pt idx="357" formatCode="[$-2B]dd\,\ mmm\,\ yy">
                  <c:v>44714</c:v>
                </c:pt>
                <c:pt idx="358" formatCode="[$-2B]dd\,\ mmm\,\ yy">
                  <c:v>44715</c:v>
                </c:pt>
                <c:pt idx="359" formatCode="[$-2B]dd\,\ mmm\,\ yy">
                  <c:v>44718</c:v>
                </c:pt>
                <c:pt idx="360" formatCode="[$-2B]dd\,\ mmm\,\ yy">
                  <c:v>44719</c:v>
                </c:pt>
                <c:pt idx="361" formatCode="[$-2B]dd\,\ mmm\,\ yy">
                  <c:v>44720</c:v>
                </c:pt>
                <c:pt idx="362" formatCode="[$-2B]dd\,\ mmm\,\ yy">
                  <c:v>44721</c:v>
                </c:pt>
                <c:pt idx="363" formatCode="[$-2B]dd\,\ mmm\,\ yy">
                  <c:v>44722</c:v>
                </c:pt>
                <c:pt idx="364" formatCode="[$-2B]dd\,\ mmm\,\ yy">
                  <c:v>44725</c:v>
                </c:pt>
                <c:pt idx="365" formatCode="[$-2B]dd\,\ mmm\,\ yy">
                  <c:v>44726</c:v>
                </c:pt>
                <c:pt idx="366" formatCode="[$-2B]dd\,\ mmm\,\ yy">
                  <c:v>44727</c:v>
                </c:pt>
                <c:pt idx="367" formatCode="[$-2B]dd\,\ mmm\,\ yy">
                  <c:v>44728</c:v>
                </c:pt>
                <c:pt idx="368" formatCode="[$-2B]dd\,\ mmm\,\ yy">
                  <c:v>44729</c:v>
                </c:pt>
                <c:pt idx="369" formatCode="[$-2B]dd\,\ mmm\,\ yy">
                  <c:v>44732</c:v>
                </c:pt>
                <c:pt idx="370" formatCode="[$-2B]dd\,\ mmm\,\ yy">
                  <c:v>44733</c:v>
                </c:pt>
                <c:pt idx="371" formatCode="[$-2B]dd\,\ mmm\,\ yy">
                  <c:v>44734</c:v>
                </c:pt>
                <c:pt idx="372" formatCode="[$-2B]dd\,\ mmm\,\ yy">
                  <c:v>44735</c:v>
                </c:pt>
                <c:pt idx="373" formatCode="[$-2B]dd\,\ mmm\,\ yy">
                  <c:v>44736</c:v>
                </c:pt>
                <c:pt idx="374" formatCode="[$-2B]dd\,\ mmm\,\ yy">
                  <c:v>44739</c:v>
                </c:pt>
                <c:pt idx="375" formatCode="[$-2B]dd\,\ mmm\,\ yy">
                  <c:v>44740</c:v>
                </c:pt>
                <c:pt idx="376" formatCode="[$-2B]dd\,\ mmm\,\ yy">
                  <c:v>44741</c:v>
                </c:pt>
                <c:pt idx="377" formatCode="[$-2B]dd\,\ mmm\,\ yy">
                  <c:v>44742</c:v>
                </c:pt>
              </c:numCache>
            </c:numRef>
          </c:cat>
          <c:val>
            <c:numRef>
              <c:f>Sheet1!$D$2:$D$380</c:f>
              <c:numCache>
                <c:formatCode>_(* #,##0_);_(* \(#,##0\);_(* "-"??_);_(@_)</c:formatCode>
                <c:ptCount val="379"/>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pt idx="311">
                  <c:v>120.82616179001708</c:v>
                </c:pt>
                <c:pt idx="312">
                  <c:v>120.82616179001708</c:v>
                </c:pt>
                <c:pt idx="313">
                  <c:v>121.24352331606204</c:v>
                </c:pt>
                <c:pt idx="314">
                  <c:v>119.99999999999987</c:v>
                </c:pt>
                <c:pt idx="315">
                  <c:v>112.14057507987208</c:v>
                </c:pt>
                <c:pt idx="316">
                  <c:v>110.20408163265294</c:v>
                </c:pt>
                <c:pt idx="317">
                  <c:v>115.84158415841573</c:v>
                </c:pt>
                <c:pt idx="318">
                  <c:v>117.78523489932874</c:v>
                </c:pt>
                <c:pt idx="319">
                  <c:v>118.78172588832476</c:v>
                </c:pt>
                <c:pt idx="320">
                  <c:v>121.24352331606207</c:v>
                </c:pt>
                <c:pt idx="321">
                  <c:v>119.18505942275033</c:v>
                </c:pt>
                <c:pt idx="322">
                  <c:v>117.58793969849236</c:v>
                </c:pt>
                <c:pt idx="323">
                  <c:v>117.78523489932876</c:v>
                </c:pt>
                <c:pt idx="324">
                  <c:v>115.65074135090599</c:v>
                </c:pt>
                <c:pt idx="325">
                  <c:v>111.42857142857133</c:v>
                </c:pt>
                <c:pt idx="326">
                  <c:v>109.68749999999989</c:v>
                </c:pt>
                <c:pt idx="327">
                  <c:v>110.03134796238234</c:v>
                </c:pt>
                <c:pt idx="328">
                  <c:v>109.85915492957737</c:v>
                </c:pt>
                <c:pt idx="329">
                  <c:v>111.0759493670885</c:v>
                </c:pt>
                <c:pt idx="330">
                  <c:v>111.0759493670885</c:v>
                </c:pt>
                <c:pt idx="331">
                  <c:v>109.6874999999999</c:v>
                </c:pt>
                <c:pt idx="332">
                  <c:v>110.7255520504731</c:v>
                </c:pt>
                <c:pt idx="333">
                  <c:v>107.8341013824884</c:v>
                </c:pt>
                <c:pt idx="334">
                  <c:v>106.20272314674727</c:v>
                </c:pt>
                <c:pt idx="335">
                  <c:v>99.999999999999943</c:v>
                </c:pt>
                <c:pt idx="336">
                  <c:v>99.152542372881285</c:v>
                </c:pt>
                <c:pt idx="337">
                  <c:v>103.08370044052857</c:v>
                </c:pt>
                <c:pt idx="338">
                  <c:v>102.33236151603491</c:v>
                </c:pt>
                <c:pt idx="339">
                  <c:v>99.999999999999943</c:v>
                </c:pt>
                <c:pt idx="340">
                  <c:v>99.29278642149923</c:v>
                </c:pt>
                <c:pt idx="341">
                  <c:v>97.364771151178857</c:v>
                </c:pt>
                <c:pt idx="342">
                  <c:v>97.771587743732525</c:v>
                </c:pt>
                <c:pt idx="343">
                  <c:v>97.229916897506854</c:v>
                </c:pt>
                <c:pt idx="344">
                  <c:v>94.864864864864785</c:v>
                </c:pt>
                <c:pt idx="345">
                  <c:v>89.884763124199679</c:v>
                </c:pt>
                <c:pt idx="346">
                  <c:v>88.973384030418188</c:v>
                </c:pt>
                <c:pt idx="347">
                  <c:v>87.531172069825374</c:v>
                </c:pt>
                <c:pt idx="348">
                  <c:v>87.313432835820834</c:v>
                </c:pt>
                <c:pt idx="349">
                  <c:v>99.715909090909008</c:v>
                </c:pt>
                <c:pt idx="350">
                  <c:v>102.78184480234252</c:v>
                </c:pt>
                <c:pt idx="351">
                  <c:v>95.640326975476768</c:v>
                </c:pt>
                <c:pt idx="352">
                  <c:v>95.770804911323268</c:v>
                </c:pt>
                <c:pt idx="353">
                  <c:v>96.561210453920154</c:v>
                </c:pt>
                <c:pt idx="354">
                  <c:v>97.635605006954023</c:v>
                </c:pt>
                <c:pt idx="355">
                  <c:v>98.319327731092372</c:v>
                </c:pt>
                <c:pt idx="356">
                  <c:v>97.635605006954037</c:v>
                </c:pt>
                <c:pt idx="357">
                  <c:v>98.734177215189803</c:v>
                </c:pt>
                <c:pt idx="358">
                  <c:v>97.907949790794916</c:v>
                </c:pt>
                <c:pt idx="359">
                  <c:v>94.864864864864799</c:v>
                </c:pt>
                <c:pt idx="360">
                  <c:v>94.993234100135254</c:v>
                </c:pt>
                <c:pt idx="361">
                  <c:v>95.251017639077276</c:v>
                </c:pt>
                <c:pt idx="362">
                  <c:v>94.993234100135254</c:v>
                </c:pt>
                <c:pt idx="363">
                  <c:v>93.72496662216281</c:v>
                </c:pt>
                <c:pt idx="364">
                  <c:v>92.85714285714279</c:v>
                </c:pt>
                <c:pt idx="365">
                  <c:v>93.227091633466074</c:v>
                </c:pt>
                <c:pt idx="366">
                  <c:v>93.4753661784287</c:v>
                </c:pt>
                <c:pt idx="367">
                  <c:v>91.764705882352871</c:v>
                </c:pt>
                <c:pt idx="368">
                  <c:v>90.463917525773127</c:v>
                </c:pt>
                <c:pt idx="369">
                  <c:v>90.697674418604564</c:v>
                </c:pt>
                <c:pt idx="370">
                  <c:v>91.525423728813479</c:v>
                </c:pt>
                <c:pt idx="371">
                  <c:v>91.287386215864672</c:v>
                </c:pt>
                <c:pt idx="372">
                  <c:v>90.93264248704655</c:v>
                </c:pt>
                <c:pt idx="373">
                  <c:v>89.655172413793011</c:v>
                </c:pt>
                <c:pt idx="374">
                  <c:v>90.580645161290221</c:v>
                </c:pt>
                <c:pt idx="375">
                  <c:v>91.287386215864643</c:v>
                </c:pt>
                <c:pt idx="376">
                  <c:v>90.932642487046522</c:v>
                </c:pt>
                <c:pt idx="377">
                  <c:v>89.655172413792982</c:v>
                </c:pt>
              </c:numCache>
            </c:numRef>
          </c:val>
          <c:smooth val="0"/>
          <c:extLst>
            <c:ext xmlns:c16="http://schemas.microsoft.com/office/drawing/2014/chart" uri="{C3380CC4-5D6E-409C-BE32-E72D297353CC}">
              <c16:uniqueId val="{00000002-B8BB-4CA9-943F-5676B0DED908}"/>
            </c:ext>
          </c:extLst>
        </c:ser>
        <c:dLbls>
          <c:showLegendKey val="0"/>
          <c:showVal val="0"/>
          <c:showCatName val="0"/>
          <c:showSerName val="0"/>
          <c:showPercent val="0"/>
          <c:showBubbleSize val="0"/>
        </c:dLbls>
        <c:smooth val="0"/>
        <c:axId val="283480832"/>
        <c:axId val="283482368"/>
      </c:lineChart>
      <c:dateAx>
        <c:axId val="283480832"/>
        <c:scaling>
          <c:orientation val="minMax"/>
        </c:scaling>
        <c:delete val="0"/>
        <c:axPos val="b"/>
        <c:numFmt formatCode="[$-2B]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3482368"/>
        <c:crosses val="autoZero"/>
        <c:auto val="1"/>
        <c:lblOffset val="100"/>
        <c:baseTimeUnit val="days"/>
      </c:dateAx>
      <c:valAx>
        <c:axId val="28348236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a:t>Ինդեքս, 2021 </a:t>
                </a:r>
                <a:r>
                  <a:rPr lang="hy-AM" sz="700" b="0" i="0" u="none" strike="noStrike" kern="1200" baseline="0">
                    <a:solidFill>
                      <a:sysClr val="windowText" lastClr="000000">
                        <a:lumMod val="65000"/>
                        <a:lumOff val="35000"/>
                      </a:sysClr>
                    </a:solidFill>
                    <a:latin typeface="+mn-lt"/>
                    <a:ea typeface="+mn-ea"/>
                    <a:cs typeface="+mn-cs"/>
                  </a:rPr>
                  <a:t>թվական</a:t>
                </a:r>
                <a:r>
                  <a:rPr lang="hy-AM" sz="700"/>
                  <a:t> </a:t>
                </a:r>
                <a:r>
                  <a:rPr lang="en-US" sz="700"/>
                  <a:t>հունվար 8=100</a:t>
                </a:r>
              </a:p>
              <a:p>
                <a:pPr>
                  <a:defRPr sz="700" b="0" i="0" u="none" strike="noStrike" kern="1200" baseline="0">
                    <a:solidFill>
                      <a:schemeClr val="tx1">
                        <a:lumMod val="65000"/>
                        <a:lumOff val="35000"/>
                      </a:schemeClr>
                    </a:solidFill>
                    <a:latin typeface="+mn-lt"/>
                    <a:ea typeface="+mn-ea"/>
                    <a:cs typeface="+mn-cs"/>
                  </a:defRPr>
                </a:pPr>
                <a:endParaRPr lang="en-US" sz="7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480832"/>
        <c:crossesAt val="43838"/>
        <c:crossBetween val="between"/>
      </c:valAx>
      <c:spPr>
        <a:solidFill>
          <a:sysClr val="window" lastClr="FFFFFF"/>
        </a:solidFill>
        <a:ln>
          <a:noFill/>
        </a:ln>
        <a:effectLst/>
      </c:spPr>
    </c:plotArea>
    <c:legend>
      <c:legendPos val="b"/>
      <c:layout>
        <c:manualLayout>
          <c:xMode val="edge"/>
          <c:yMode val="edge"/>
          <c:x val="0.27577937649880097"/>
          <c:y val="0.90084840185490644"/>
          <c:w val="0.54170395966691209"/>
          <c:h val="8.2568236282717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Sheet1!$A$2:$A$67</c:f>
              <c:strCache>
                <c:ptCount val="30"/>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pt idx="26">
                  <c:v>22-M3</c:v>
                </c:pt>
                <c:pt idx="27">
                  <c:v>22-M4</c:v>
                </c:pt>
                <c:pt idx="28">
                  <c:v>22-M5</c:v>
                </c:pt>
                <c:pt idx="29">
                  <c:v>22-M6</c:v>
                </c:pt>
              </c:strCache>
            </c:strRef>
          </c:cat>
          <c:val>
            <c:numRef>
              <c:f>Sheet1!$B$2:$B$67</c:f>
              <c:numCache>
                <c:formatCode>0.0</c:formatCode>
                <c:ptCount val="30"/>
                <c:pt idx="0">
                  <c:v>-2.6246542068686409</c:v>
                </c:pt>
                <c:pt idx="1">
                  <c:v>-1.4553084915558543</c:v>
                </c:pt>
                <c:pt idx="2">
                  <c:v>-0.39762329711045652</c:v>
                </c:pt>
                <c:pt idx="3">
                  <c:v>0.76205314050565676</c:v>
                </c:pt>
                <c:pt idx="4">
                  <c:v>1.2758480875794191</c:v>
                </c:pt>
                <c:pt idx="5">
                  <c:v>1.5440919000124325</c:v>
                </c:pt>
                <c:pt idx="6">
                  <c:v>1.8000739889795625</c:v>
                </c:pt>
                <c:pt idx="7">
                  <c:v>1.872659176029984</c:v>
                </c:pt>
                <c:pt idx="8">
                  <c:v>2.0262389559304808</c:v>
                </c:pt>
                <c:pt idx="9">
                  <c:v>2.188254555710742</c:v>
                </c:pt>
                <c:pt idx="10">
                  <c:v>2.1130775254503078</c:v>
                </c:pt>
                <c:pt idx="11">
                  <c:v>1.7208775670906959</c:v>
                </c:pt>
                <c:pt idx="12">
                  <c:v>-2.9309866962305904</c:v>
                </c:pt>
                <c:pt idx="13">
                  <c:v>-3.9358450389806308</c:v>
                </c:pt>
                <c:pt idx="14">
                  <c:v>-4.6884569147367472</c:v>
                </c:pt>
                <c:pt idx="15">
                  <c:v>-5.3713382968353329</c:v>
                </c:pt>
                <c:pt idx="16">
                  <c:v>-6.1200523127018585</c:v>
                </c:pt>
                <c:pt idx="17">
                  <c:v>-6.0824489977530192</c:v>
                </c:pt>
                <c:pt idx="18">
                  <c:v>-5.1402450103761339</c:v>
                </c:pt>
                <c:pt idx="19">
                  <c:v>-4.3538477034649503</c:v>
                </c:pt>
                <c:pt idx="20">
                  <c:v>-3.8404925394323044</c:v>
                </c:pt>
                <c:pt idx="21">
                  <c:v>-3.2467619893906345</c:v>
                </c:pt>
                <c:pt idx="22">
                  <c:v>-2.324568399612275</c:v>
                </c:pt>
                <c:pt idx="23">
                  <c:v>-1.1645712671281387</c:v>
                </c:pt>
                <c:pt idx="24">
                  <c:v>13.562709686630029</c:v>
                </c:pt>
                <c:pt idx="25">
                  <c:v>13.331664938686473</c:v>
                </c:pt>
                <c:pt idx="26">
                  <c:v>14.167063303188954</c:v>
                </c:pt>
                <c:pt idx="27">
                  <c:v>15.231329366841308</c:v>
                </c:pt>
                <c:pt idx="28">
                  <c:v>15.832717348041186</c:v>
                </c:pt>
                <c:pt idx="29" formatCode="_(* #,##0.0_);_(* \(#,##0.0\);_(* &quot;-&quot;??_);_(@_)">
                  <c:v>18.157053180149262</c:v>
                </c:pt>
              </c:numCache>
            </c:numRef>
          </c:val>
          <c:smooth val="0"/>
          <c:extLst>
            <c:ext xmlns:c16="http://schemas.microsoft.com/office/drawing/2014/chart" uri="{C3380CC4-5D6E-409C-BE32-E72D297353CC}">
              <c16:uniqueId val="{00000000-CEF2-418D-8779-1FCB843C102D}"/>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Sheet1!$A$2:$A$67</c:f>
              <c:strCache>
                <c:ptCount val="30"/>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pt idx="26">
                  <c:v>22-M3</c:v>
                </c:pt>
                <c:pt idx="27">
                  <c:v>22-M4</c:v>
                </c:pt>
                <c:pt idx="28">
                  <c:v>22-M5</c:v>
                </c:pt>
                <c:pt idx="29">
                  <c:v>22-M6</c:v>
                </c:pt>
              </c:strCache>
            </c:strRef>
          </c:cat>
          <c:val>
            <c:numRef>
              <c:f>Sheet1!$C$2:$C$67</c:f>
              <c:numCache>
                <c:formatCode>0.0</c:formatCode>
                <c:ptCount val="30"/>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-5.280059384530972</c:v>
                </c:pt>
                <c:pt idx="16">
                  <c:v>-5.9339955142582568</c:v>
                </c:pt>
                <c:pt idx="17">
                  <c:v>-5.8889332800639238</c:v>
                </c:pt>
                <c:pt idx="18">
                  <c:v>-5.1113975830072604</c:v>
                </c:pt>
                <c:pt idx="19">
                  <c:v>-4.4923561884823329</c:v>
                </c:pt>
                <c:pt idx="20">
                  <c:v>-4.0853841404251483</c:v>
                </c:pt>
                <c:pt idx="21">
                  <c:v>-3.5536226742602253</c:v>
                </c:pt>
                <c:pt idx="22">
                  <c:v>-2.677789556159837</c:v>
                </c:pt>
                <c:pt idx="23">
                  <c:v>-1.3669868689630249</c:v>
                </c:pt>
                <c:pt idx="24">
                  <c:v>16.532202926295653</c:v>
                </c:pt>
                <c:pt idx="25">
                  <c:v>16.946483886977788</c:v>
                </c:pt>
                <c:pt idx="26">
                  <c:v>18.682483249008627</c:v>
                </c:pt>
                <c:pt idx="27">
                  <c:v>19.429442731315063</c:v>
                </c:pt>
                <c:pt idx="28">
                  <c:v>19.841951086586263</c:v>
                </c:pt>
                <c:pt idx="29" formatCode="General">
                  <c:v>22</c:v>
                </c:pt>
              </c:numCache>
            </c:numRef>
          </c:val>
          <c:smooth val="0"/>
          <c:extLst>
            <c:ext xmlns:c16="http://schemas.microsoft.com/office/drawing/2014/chart" uri="{C3380CC4-5D6E-409C-BE32-E72D297353CC}">
              <c16:uniqueId val="{00000001-CEF2-418D-8779-1FCB843C102D}"/>
            </c:ext>
          </c:extLst>
        </c:ser>
        <c:dLbls>
          <c:showLegendKey val="0"/>
          <c:showVal val="0"/>
          <c:showCatName val="0"/>
          <c:showSerName val="0"/>
          <c:showPercent val="0"/>
          <c:showBubbleSize val="0"/>
        </c:dLbls>
        <c:smooth val="0"/>
        <c:axId val="283227648"/>
        <c:axId val="283229184"/>
      </c:lineChart>
      <c:catAx>
        <c:axId val="283227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3229184"/>
        <c:crosses val="autoZero"/>
        <c:auto val="1"/>
        <c:lblAlgn val="ctr"/>
        <c:lblOffset val="100"/>
        <c:noMultiLvlLbl val="0"/>
      </c:catAx>
      <c:valAx>
        <c:axId val="28322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kern="1200" baseline="0">
                    <a:solidFill>
                      <a:sysClr val="windowText" lastClr="000000">
                        <a:lumMod val="65000"/>
                        <a:lumOff val="35000"/>
                      </a:sysClr>
                    </a:solidFill>
                    <a:latin typeface="+mn-lt"/>
                    <a:ea typeface="+mn-ea"/>
                    <a:cs typeface="+mn-cs"/>
                  </a:rPr>
                  <a:t>տոկոս</a:t>
                </a:r>
                <a:endParaRPr lang="en-US" sz="700"/>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227648"/>
        <c:crosses val="autoZero"/>
        <c:crossBetween val="between"/>
      </c:valAx>
      <c:spPr>
        <a:solidFill>
          <a:sysClr val="window" lastClr="FFFFFF"/>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endParaRPr lang="en-US"/>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ACF0-4978-913E-43778A2F0F5A}"/>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ACF0-4978-913E-43778A2F0F5A}"/>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c:ext xmlns:c16="http://schemas.microsoft.com/office/drawing/2014/chart" uri="{C3380CC4-5D6E-409C-BE32-E72D297353CC}">
              <c16:uniqueId val="{00000002-ACF0-4978-913E-43778A2F0F5A}"/>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numCache>
            </c:numRef>
          </c:val>
          <c:smooth val="0"/>
          <c:extLst>
            <c:ext xmlns:c16="http://schemas.microsoft.com/office/drawing/2014/chart" uri="{C3380CC4-5D6E-409C-BE32-E72D297353CC}">
              <c16:uniqueId val="{00000003-ACF0-4978-913E-43778A2F0F5A}"/>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5"/>
              <c:layout>
                <c:manualLayout>
                  <c:x val="-2.3255813953488445E-2"/>
                  <c:y val="-1.76600441501104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CF0-4978-913E-43778A2F0F5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numCache>
            </c:numRef>
          </c:val>
          <c:smooth val="0"/>
          <c:extLst>
            <c:ext xmlns:c16="http://schemas.microsoft.com/office/drawing/2014/chart" uri="{C3380CC4-5D6E-409C-BE32-E72D297353CC}">
              <c16:uniqueId val="{00000005-ACF0-4978-913E-43778A2F0F5A}"/>
            </c:ext>
          </c:extLst>
        </c:ser>
        <c:dLbls>
          <c:showLegendKey val="0"/>
          <c:showVal val="0"/>
          <c:showCatName val="0"/>
          <c:showSerName val="0"/>
          <c:showPercent val="0"/>
          <c:showBubbleSize val="0"/>
        </c:dLbls>
        <c:marker val="1"/>
        <c:smooth val="0"/>
        <c:axId val="283547136"/>
        <c:axId val="283548672"/>
      </c:lineChart>
      <c:catAx>
        <c:axId val="283547136"/>
        <c:scaling>
          <c:orientation val="minMax"/>
        </c:scaling>
        <c:delete val="0"/>
        <c:axPos val="b"/>
        <c:numFmt formatCode="General" sourceLinked="1"/>
        <c:majorTickMark val="out"/>
        <c:minorTickMark val="none"/>
        <c:tickLblPos val="low"/>
        <c:crossAx val="283548672"/>
        <c:crosses val="autoZero"/>
        <c:auto val="1"/>
        <c:lblAlgn val="ctr"/>
        <c:lblOffset val="400"/>
        <c:noMultiLvlLbl val="0"/>
      </c:catAx>
      <c:valAx>
        <c:axId val="283548672"/>
        <c:scaling>
          <c:orientation val="minMax"/>
          <c:min val="-10"/>
        </c:scaling>
        <c:delete val="0"/>
        <c:axPos val="l"/>
        <c:majorGridlines>
          <c:spPr>
            <a:ln w="6350"/>
          </c:spPr>
        </c:majorGridlines>
        <c:numFmt formatCode="0.0" sourceLinked="1"/>
        <c:majorTickMark val="out"/>
        <c:minorTickMark val="none"/>
        <c:tickLblPos val="nextTo"/>
        <c:crossAx val="283547136"/>
        <c:crosses val="autoZero"/>
        <c:crossBetween val="between"/>
      </c:valAx>
    </c:plotArea>
    <c:legend>
      <c:legendPos val="r"/>
      <c:layout>
        <c:manualLayout>
          <c:xMode val="edge"/>
          <c:yMode val="edge"/>
          <c:x val="1.6617922759655041E-2"/>
          <c:y val="0.80973701135040244"/>
          <c:w val="0.93498964803312634"/>
          <c:h val="0.1902629886495976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a:t>
            </a:r>
            <a:r>
              <a:rPr lang="en-US"/>
              <a:t>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r>
              <a:rPr lang="en-US"/>
              <a:t>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2393-4810-B6C0-8CE90973DD64}"/>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2393-4810-B6C0-8CE90973DD64}"/>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c:ext xmlns:c16="http://schemas.microsoft.com/office/drawing/2014/chart" uri="{C3380CC4-5D6E-409C-BE32-E72D297353CC}">
              <c16:uniqueId val="{00000002-2393-4810-B6C0-8CE90973DD64}"/>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numCache>
            </c:numRef>
          </c:val>
          <c:smooth val="0"/>
          <c:extLst>
            <c:ext xmlns:c16="http://schemas.microsoft.com/office/drawing/2014/chart" uri="{C3380CC4-5D6E-409C-BE32-E72D297353CC}">
              <c16:uniqueId val="{00000003-2393-4810-B6C0-8CE90973DD64}"/>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93-4810-B6C0-8CE90973DD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numCache>
            </c:numRef>
          </c:val>
          <c:smooth val="0"/>
          <c:extLst>
            <c:ext xmlns:c16="http://schemas.microsoft.com/office/drawing/2014/chart" uri="{C3380CC4-5D6E-409C-BE32-E72D297353CC}">
              <c16:uniqueId val="{00000005-2393-4810-B6C0-8CE90973DD64}"/>
            </c:ext>
          </c:extLst>
        </c:ser>
        <c:dLbls>
          <c:showLegendKey val="0"/>
          <c:showVal val="0"/>
          <c:showCatName val="0"/>
          <c:showSerName val="0"/>
          <c:showPercent val="0"/>
          <c:showBubbleSize val="0"/>
        </c:dLbls>
        <c:marker val="1"/>
        <c:smooth val="0"/>
        <c:axId val="306120960"/>
        <c:axId val="306130944"/>
      </c:lineChart>
      <c:catAx>
        <c:axId val="306120960"/>
        <c:scaling>
          <c:orientation val="minMax"/>
        </c:scaling>
        <c:delete val="0"/>
        <c:axPos val="b"/>
        <c:numFmt formatCode="General" sourceLinked="1"/>
        <c:majorTickMark val="out"/>
        <c:minorTickMark val="none"/>
        <c:tickLblPos val="nextTo"/>
        <c:txPr>
          <a:bodyPr rot="0" vert="horz"/>
          <a:lstStyle/>
          <a:p>
            <a:pPr>
              <a:defRPr/>
            </a:pPr>
            <a:endParaRPr lang="en-US"/>
          </a:p>
        </c:txPr>
        <c:crossAx val="306130944"/>
        <c:crosses val="autoZero"/>
        <c:auto val="1"/>
        <c:lblAlgn val="ctr"/>
        <c:lblOffset val="100"/>
        <c:noMultiLvlLbl val="0"/>
      </c:catAx>
      <c:valAx>
        <c:axId val="306130944"/>
        <c:scaling>
          <c:orientation val="minMax"/>
        </c:scaling>
        <c:delete val="0"/>
        <c:axPos val="l"/>
        <c:majorGridlines>
          <c:spPr>
            <a:ln w="6350"/>
          </c:spPr>
        </c:majorGridlines>
        <c:numFmt formatCode="0.0" sourceLinked="1"/>
        <c:majorTickMark val="out"/>
        <c:minorTickMark val="none"/>
        <c:tickLblPos val="nextTo"/>
        <c:crossAx val="306120960"/>
        <c:crosses val="autoZero"/>
        <c:crossBetween val="between"/>
      </c:valAx>
    </c:plotArea>
    <c:legend>
      <c:legendPos val="r"/>
      <c:layout>
        <c:manualLayout>
          <c:xMode val="edge"/>
          <c:yMode val="edge"/>
          <c:x val="5.9308102616205234E-2"/>
          <c:y val="0.78649715297215739"/>
          <c:w val="0.90107526881720434"/>
          <c:h val="0.21350284702784245"/>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16.700000000000003</c:v>
                </c:pt>
                <c:pt idx="1">
                  <c:v>2.9000000000000057</c:v>
                </c:pt>
                <c:pt idx="2">
                  <c:v>-6.4000000000000057</c:v>
                </c:pt>
                <c:pt idx="3">
                  <c:v>1.7000000000000028</c:v>
                </c:pt>
                <c:pt idx="4">
                  <c:v>2</c:v>
                </c:pt>
                <c:pt idx="5">
                  <c:v>19</c:v>
                </c:pt>
              </c:numCache>
            </c:numRef>
          </c:val>
          <c:extLst>
            <c:ext xmlns:c16="http://schemas.microsoft.com/office/drawing/2014/chart" uri="{C3380CC4-5D6E-409C-BE32-E72D297353CC}">
              <c16:uniqueId val="{00000000-554E-4771-8BF0-A02C031EB7A3}"/>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3</c:v>
                </c:pt>
                <c:pt idx="1">
                  <c:v>6.2999999999999972</c:v>
                </c:pt>
                <c:pt idx="2">
                  <c:v>8.2000000000000028</c:v>
                </c:pt>
                <c:pt idx="3">
                  <c:v>15.599999999999994</c:v>
                </c:pt>
                <c:pt idx="4">
                  <c:v>18.099999999999994</c:v>
                </c:pt>
                <c:pt idx="5">
                  <c:v>16.700000000000003</c:v>
                </c:pt>
              </c:numCache>
            </c:numRef>
          </c:val>
          <c:extLst>
            <c:ext xmlns:c16="http://schemas.microsoft.com/office/drawing/2014/chart" uri="{C3380CC4-5D6E-409C-BE32-E72D297353CC}">
              <c16:uniqueId val="{00000001-554E-4771-8BF0-A02C031EB7A3}"/>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21.200000000000003</c:v>
                </c:pt>
                <c:pt idx="1">
                  <c:v>19</c:v>
                </c:pt>
                <c:pt idx="2">
                  <c:v>25.900000000000006</c:v>
                </c:pt>
                <c:pt idx="3">
                  <c:v>27.099999999999994</c:v>
                </c:pt>
                <c:pt idx="4">
                  <c:v>30.199999999999989</c:v>
                </c:pt>
                <c:pt idx="5">
                  <c:v>35.5</c:v>
                </c:pt>
              </c:numCache>
            </c:numRef>
          </c:val>
          <c:extLst>
            <c:ext xmlns:c16="http://schemas.microsoft.com/office/drawing/2014/chart" uri="{C3380CC4-5D6E-409C-BE32-E72D297353CC}">
              <c16:uniqueId val="{00000002-554E-4771-8BF0-A02C031EB7A3}"/>
            </c:ext>
          </c:extLst>
        </c:ser>
        <c:ser>
          <c:idx val="4"/>
          <c:order val="4"/>
          <c:tx>
            <c:strRef>
              <c:f>Sheet1!$A$6</c:f>
              <c:strCache>
                <c:ptCount val="1"/>
                <c:pt idx="0">
                  <c:v>առևտուր</c:v>
                </c:pt>
              </c:strCache>
            </c:strRef>
          </c:tx>
          <c:spPr>
            <a:solidFill>
              <a:srgbClr val="F79646">
                <a:lumMod val="75000"/>
              </a:srgbClr>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11.5</c:v>
                </c:pt>
                <c:pt idx="1">
                  <c:v>5.2999999999999972</c:v>
                </c:pt>
                <c:pt idx="2">
                  <c:v>6.5999999999999943</c:v>
                </c:pt>
                <c:pt idx="3">
                  <c:v>8.5999999999999943</c:v>
                </c:pt>
                <c:pt idx="4">
                  <c:v>12.400000000000006</c:v>
                </c:pt>
                <c:pt idx="5">
                  <c:v>18.200000000000003</c:v>
                </c:pt>
              </c:numCache>
            </c:numRef>
          </c:val>
          <c:extLst>
            <c:ext xmlns:c16="http://schemas.microsoft.com/office/drawing/2014/chart" uri="{C3380CC4-5D6E-409C-BE32-E72D297353CC}">
              <c16:uniqueId val="{00000003-554E-4771-8BF0-A02C031EB7A3}"/>
            </c:ext>
          </c:extLst>
        </c:ser>
        <c:dLbls>
          <c:showLegendKey val="0"/>
          <c:showVal val="0"/>
          <c:showCatName val="0"/>
          <c:showSerName val="0"/>
          <c:showPercent val="0"/>
          <c:showBubbleSize val="0"/>
        </c:dLbls>
        <c:gapWidth val="219"/>
        <c:overlap val="-27"/>
        <c:axId val="273535360"/>
        <c:axId val="273536896"/>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81E-2"/>
                  <c:y val="3.89839283788156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54E-4771-8BF0-A02C031EB7A3}"/>
                </c:ext>
              </c:extLst>
            </c:dLbl>
            <c:dLbl>
              <c:idx val="1"/>
              <c:layout>
                <c:manualLayout>
                  <c:x val="-9.1378639683913798E-2"/>
                  <c:y val="3.2134613310322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54E-4771-8BF0-A02C031EB7A3}"/>
                </c:ext>
              </c:extLst>
            </c:dLbl>
            <c:dLbl>
              <c:idx val="2"/>
              <c:layout>
                <c:manualLayout>
                  <c:x val="-9.9627734676953489E-2"/>
                  <c:y val="-6.63811886527882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54E-4771-8BF0-A02C031EB7A3}"/>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4E-4771-8BF0-A02C031EB7A3}"/>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554E-4771-8BF0-A02C031EB7A3}"/>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54E-4771-8BF0-A02C031EB7A3}"/>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4E-4771-8BF0-A02C031EB7A3}"/>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4E-4771-8BF0-A02C031EB7A3}"/>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4E-4771-8BF0-A02C031EB7A3}"/>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4E-4771-8BF0-A02C031EB7A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14.799999999999997</c:v>
                </c:pt>
                <c:pt idx="1">
                  <c:v>8.2999999999999972</c:v>
                </c:pt>
                <c:pt idx="2">
                  <c:v>6.7999999999999972</c:v>
                </c:pt>
                <c:pt idx="3">
                  <c:v>8.7999999999999972</c:v>
                </c:pt>
                <c:pt idx="4">
                  <c:v>13</c:v>
                </c:pt>
                <c:pt idx="5">
                  <c:v>18.5</c:v>
                </c:pt>
              </c:numCache>
            </c:numRef>
          </c:val>
          <c:smooth val="0"/>
          <c:extLst>
            <c:ext xmlns:c16="http://schemas.microsoft.com/office/drawing/2014/chart" uri="{C3380CC4-5D6E-409C-BE32-E72D297353CC}">
              <c16:uniqueId val="{0000000E-554E-4771-8BF0-A02C031EB7A3}"/>
            </c:ext>
          </c:extLst>
        </c:ser>
        <c:dLbls>
          <c:showLegendKey val="0"/>
          <c:showVal val="0"/>
          <c:showCatName val="0"/>
          <c:showSerName val="0"/>
          <c:showPercent val="0"/>
          <c:showBubbleSize val="0"/>
        </c:dLbls>
        <c:marker val="1"/>
        <c:smooth val="0"/>
        <c:axId val="273613952"/>
        <c:axId val="273538432"/>
      </c:lineChart>
      <c:catAx>
        <c:axId val="273535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536896"/>
        <c:crosses val="autoZero"/>
        <c:auto val="1"/>
        <c:lblAlgn val="ctr"/>
        <c:lblOffset val="100"/>
        <c:noMultiLvlLbl val="0"/>
      </c:catAx>
      <c:valAx>
        <c:axId val="273536896"/>
        <c:scaling>
          <c:orientation val="minMax"/>
          <c:max val="3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535360"/>
        <c:crosses val="autoZero"/>
        <c:crossBetween val="between"/>
        <c:majorUnit val="8"/>
      </c:valAx>
      <c:valAx>
        <c:axId val="273538432"/>
        <c:scaling>
          <c:orientation val="minMax"/>
          <c:max val="20"/>
        </c:scaling>
        <c:delete val="0"/>
        <c:axPos val="r"/>
        <c:numFmt formatCode="0.0" sourceLinked="1"/>
        <c:majorTickMark val="out"/>
        <c:minorTickMark val="none"/>
        <c:tickLblPos val="nextTo"/>
        <c:crossAx val="273613952"/>
        <c:crosses val="max"/>
        <c:crossBetween val="between"/>
        <c:majorUnit val="4"/>
      </c:valAx>
      <c:catAx>
        <c:axId val="273613952"/>
        <c:scaling>
          <c:orientation val="minMax"/>
        </c:scaling>
        <c:delete val="1"/>
        <c:axPos val="b"/>
        <c:numFmt formatCode="General" sourceLinked="1"/>
        <c:majorTickMark val="out"/>
        <c:minorTickMark val="none"/>
        <c:tickLblPos val="nextTo"/>
        <c:crossAx val="27353843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Sheet1!$A$3</c:f>
              <c:strCache>
                <c:ptCount val="1"/>
                <c:pt idx="0">
                  <c:v>2021 12 ամսյա աճը, %</c:v>
                </c:pt>
              </c:strCache>
            </c:strRef>
          </c:tx>
          <c:spPr>
            <a:solidFill>
              <a:schemeClr val="accent5"/>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pt idx="9">
                  <c:v>19.987566472725064</c:v>
                </c:pt>
                <c:pt idx="10">
                  <c:v>20.396637182002152</c:v>
                </c:pt>
                <c:pt idx="11">
                  <c:v>24.996776349682847</c:v>
                </c:pt>
              </c:numCache>
            </c:numRef>
          </c:val>
          <c:extLst>
            <c:ext xmlns:c16="http://schemas.microsoft.com/office/drawing/2014/chart" uri="{C3380CC4-5D6E-409C-BE32-E72D297353CC}">
              <c16:uniqueId val="{00000000-788A-4F77-AB4E-784FF93A94E2}"/>
            </c:ext>
          </c:extLst>
        </c:ser>
        <c:ser>
          <c:idx val="3"/>
          <c:order val="3"/>
          <c:tx>
            <c:strRef>
              <c:f>Sheet1!$A$5</c:f>
              <c:strCache>
                <c:ptCount val="1"/>
                <c:pt idx="0">
                  <c:v>2022 12 ամսյա աճը, %</c:v>
                </c:pt>
              </c:strCache>
            </c:strRef>
          </c:tx>
          <c:spPr>
            <a:solidFill>
              <a:schemeClr val="accent6">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788A-4F77-AB4E-784FF93A94E2}"/>
                </c:ext>
              </c:extLst>
            </c:dLbl>
            <c:dLbl>
              <c:idx val="1"/>
              <c:layout>
                <c:manualLayout>
                  <c:x val="-2.116402116402097E-3"/>
                  <c:y val="0.3616488563929508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88A-4F77-AB4E-784FF93A94E2}"/>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pt idx="3">
                  <c:v>28.429747589104466</c:v>
                </c:pt>
                <c:pt idx="4">
                  <c:v>23.353110136931647</c:v>
                </c:pt>
                <c:pt idx="5">
                  <c:v>25.963309740001449</c:v>
                </c:pt>
              </c:numCache>
            </c:numRef>
          </c:val>
          <c:extLst>
            <c:ext xmlns:c16="http://schemas.microsoft.com/office/drawing/2014/chart" uri="{C3380CC4-5D6E-409C-BE32-E72D297353CC}">
              <c16:uniqueId val="{00000003-788A-4F77-AB4E-784FF93A94E2}"/>
            </c:ext>
          </c:extLst>
        </c:ser>
        <c:dLbls>
          <c:showLegendKey val="0"/>
          <c:showVal val="0"/>
          <c:showCatName val="0"/>
          <c:showSerName val="0"/>
          <c:showPercent val="0"/>
          <c:showBubbleSize val="0"/>
        </c:dLbls>
        <c:gapWidth val="128"/>
        <c:axId val="283630208"/>
        <c:axId val="283632000"/>
      </c:barChart>
      <c:lineChart>
        <c:grouping val="standard"/>
        <c:varyColors val="0"/>
        <c:ser>
          <c:idx val="0"/>
          <c:order val="0"/>
          <c:tx>
            <c:strRef>
              <c:f>Sheet1!$A$2</c:f>
              <c:strCache>
                <c:ptCount val="1"/>
                <c:pt idx="0">
                  <c:v>2021 աճի տեմպը,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pt idx="9">
                  <c:v>12.700907835308442</c:v>
                </c:pt>
                <c:pt idx="10">
                  <c:v>13.376380238254029</c:v>
                </c:pt>
                <c:pt idx="11">
                  <c:v>14.560636925162939</c:v>
                </c:pt>
              </c:numCache>
            </c:numRef>
          </c:val>
          <c:smooth val="0"/>
          <c:extLst>
            <c:ext xmlns:c16="http://schemas.microsoft.com/office/drawing/2014/chart" uri="{C3380CC4-5D6E-409C-BE32-E72D297353CC}">
              <c16:uniqueId val="{00000004-788A-4F77-AB4E-784FF93A94E2}"/>
            </c:ext>
          </c:extLst>
        </c:ser>
        <c:ser>
          <c:idx val="2"/>
          <c:order val="2"/>
          <c:tx>
            <c:strRef>
              <c:f>Sheet1!$A$4</c:f>
              <c:strCache>
                <c:ptCount val="1"/>
                <c:pt idx="0">
                  <c:v>2022 աճի տեմպը,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10.465495021027209</c:v>
                </c:pt>
                <c:pt idx="1">
                  <c:v>20.27752807035057</c:v>
                </c:pt>
                <c:pt idx="2">
                  <c:v>20.324942076471558</c:v>
                </c:pt>
                <c:pt idx="3">
                  <c:v>23.170028686693172</c:v>
                </c:pt>
                <c:pt idx="4">
                  <c:v>23.201233589844321</c:v>
                </c:pt>
                <c:pt idx="5">
                  <c:v>23.686651790698491</c:v>
                </c:pt>
              </c:numCache>
            </c:numRef>
          </c:val>
          <c:smooth val="0"/>
          <c:extLst>
            <c:ext xmlns:c16="http://schemas.microsoft.com/office/drawing/2014/chart" uri="{C3380CC4-5D6E-409C-BE32-E72D297353CC}">
              <c16:uniqueId val="{00000005-788A-4F77-AB4E-784FF93A94E2}"/>
            </c:ext>
          </c:extLst>
        </c:ser>
        <c:dLbls>
          <c:showLegendKey val="0"/>
          <c:showVal val="0"/>
          <c:showCatName val="0"/>
          <c:showSerName val="0"/>
          <c:showPercent val="0"/>
          <c:showBubbleSize val="0"/>
        </c:dLbls>
        <c:marker val="1"/>
        <c:smooth val="0"/>
        <c:axId val="283630208"/>
        <c:axId val="283632000"/>
      </c:lineChart>
      <c:catAx>
        <c:axId val="283630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83632000"/>
        <c:crosses val="autoZero"/>
        <c:auto val="1"/>
        <c:lblAlgn val="ctr"/>
        <c:lblOffset val="100"/>
        <c:noMultiLvlLbl val="0"/>
      </c:catAx>
      <c:valAx>
        <c:axId val="28363200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83630208"/>
        <c:crosses val="autoZero"/>
        <c:crossBetween val="between"/>
      </c:valAx>
      <c:spPr>
        <a:solidFill>
          <a:schemeClr val="bg1"/>
        </a:solid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Sheet1!$A$2:$A$35</c:f>
              <c:strCache>
                <c:ptCount val="18"/>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pt idx="17">
                  <c:v>2022Q1-Q2</c:v>
                </c:pt>
              </c:strCache>
            </c:strRef>
          </c:cat>
          <c:val>
            <c:numRef>
              <c:f>Sheet1!$B$2:$B$35</c:f>
              <c:numCache>
                <c:formatCode>0.0</c:formatCode>
                <c:ptCount val="18"/>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0.58935538987006431</c:v>
                </c:pt>
                <c:pt idx="12">
                  <c:v>0.84616314732827036</c:v>
                </c:pt>
                <c:pt idx="13">
                  <c:v>0.52646360013243787</c:v>
                </c:pt>
                <c:pt idx="14">
                  <c:v>-0.24804254424107045</c:v>
                </c:pt>
                <c:pt idx="15">
                  <c:v>-0.45268809792632697</c:v>
                </c:pt>
                <c:pt idx="16">
                  <c:v>-2.8583241606178653</c:v>
                </c:pt>
                <c:pt idx="17">
                  <c:v>-2.2709824787676554</c:v>
                </c:pt>
              </c:numCache>
            </c:numRef>
          </c:val>
          <c:extLst>
            <c:ext xmlns:c16="http://schemas.microsoft.com/office/drawing/2014/chart" uri="{C3380CC4-5D6E-409C-BE32-E72D297353CC}">
              <c16:uniqueId val="{00000000-9A31-48D5-ADCC-E56E69937937}"/>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Sheet1!$A$2:$A$35</c:f>
              <c:strCache>
                <c:ptCount val="18"/>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pt idx="17">
                  <c:v>2022Q1-Q2</c:v>
                </c:pt>
              </c:strCache>
            </c:strRef>
          </c:cat>
          <c:val>
            <c:numRef>
              <c:f>Sheet1!$C$2:$C$35</c:f>
              <c:numCache>
                <c:formatCode>0.0</c:formatCode>
                <c:ptCount val="18"/>
                <c:pt idx="0">
                  <c:v>-2.2966489350453703</c:v>
                </c:pt>
                <c:pt idx="1">
                  <c:v>-2.2288745973280197</c:v>
                </c:pt>
                <c:pt idx="2">
                  <c:v>-2.5672397152479274</c:v>
                </c:pt>
                <c:pt idx="3">
                  <c:v>-0.88384933501854113</c:v>
                </c:pt>
                <c:pt idx="4">
                  <c:v>-1.472507795198662</c:v>
                </c:pt>
                <c:pt idx="5">
                  <c:v>-0.7087271546861732</c:v>
                </c:pt>
                <c:pt idx="6">
                  <c:v>1.2806854401670376</c:v>
                </c:pt>
                <c:pt idx="7">
                  <c:v>1.1885527283576602</c:v>
                </c:pt>
                <c:pt idx="8">
                  <c:v>3.1230301488983647</c:v>
                </c:pt>
                <c:pt idx="9">
                  <c:v>5.1378776635412597</c:v>
                </c:pt>
                <c:pt idx="10">
                  <c:v>3.9241055765341768</c:v>
                </c:pt>
                <c:pt idx="11">
                  <c:v>4.0371233246588094</c:v>
                </c:pt>
                <c:pt idx="12">
                  <c:v>2.4384656809761429</c:v>
                </c:pt>
                <c:pt idx="13">
                  <c:v>-0.25607925096058087</c:v>
                </c:pt>
                <c:pt idx="14">
                  <c:v>-0.7245708965039338</c:v>
                </c:pt>
                <c:pt idx="15">
                  <c:v>-1.3949402994897968</c:v>
                </c:pt>
                <c:pt idx="16">
                  <c:v>-1.9540888349445567</c:v>
                </c:pt>
                <c:pt idx="17">
                  <c:v>-1.7281506292119637</c:v>
                </c:pt>
              </c:numCache>
            </c:numRef>
          </c:val>
          <c:extLst>
            <c:ext xmlns:c16="http://schemas.microsoft.com/office/drawing/2014/chart" uri="{C3380CC4-5D6E-409C-BE32-E72D297353CC}">
              <c16:uniqueId val="{00000001-9A31-48D5-ADCC-E56E69937937}"/>
            </c:ext>
          </c:extLst>
        </c:ser>
        <c:dLbls>
          <c:showLegendKey val="0"/>
          <c:showVal val="0"/>
          <c:showCatName val="0"/>
          <c:showSerName val="0"/>
          <c:showPercent val="0"/>
          <c:showBubbleSize val="0"/>
        </c:dLbls>
        <c:gapWidth val="150"/>
        <c:axId val="306341760"/>
        <c:axId val="306343296"/>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9"/>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31-48D5-ADCC-E56E69937937}"/>
                </c:ext>
              </c:extLst>
            </c:dLbl>
            <c:dLbl>
              <c:idx val="10"/>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31-48D5-ADCC-E56E69937937}"/>
                </c:ext>
              </c:extLst>
            </c:dLbl>
            <c:dLbl>
              <c:idx val="11"/>
              <c:layout>
                <c:manualLayout>
                  <c:x val="-3.5491452991452989E-2"/>
                  <c:y val="-4.9575965925607611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3205128205128208E-2"/>
                      <c:h val="7.9706489337307951E-2"/>
                    </c:manualLayout>
                  </c15:layout>
                </c:ext>
                <c:ext xmlns:c16="http://schemas.microsoft.com/office/drawing/2014/chart" uri="{C3380CC4-5D6E-409C-BE32-E72D297353CC}">
                  <c16:uniqueId val="{00000004-9A31-48D5-ADCC-E56E69937937}"/>
                </c:ext>
              </c:extLst>
            </c:dLbl>
            <c:dLbl>
              <c:idx val="12"/>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31-48D5-ADCC-E56E69937937}"/>
                </c:ext>
              </c:extLst>
            </c:dLbl>
            <c:dLbl>
              <c:idx val="16"/>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31-48D5-ADCC-E56E69937937}"/>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Sheet1!$A$2:$A$35</c:f>
              <c:strCache>
                <c:ptCount val="18"/>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pt idx="17">
                  <c:v>2022Q1-Q2</c:v>
                </c:pt>
              </c:strCache>
            </c:strRef>
          </c:cat>
          <c:val>
            <c:numRef>
              <c:f>Sheet1!$D$2:$D$35</c:f>
              <c:numCache>
                <c:formatCode>0.0</c:formatCode>
                <c:ptCount val="18"/>
                <c:pt idx="0">
                  <c:v>-1.6665458969605238</c:v>
                </c:pt>
                <c:pt idx="1">
                  <c:v>-1.2695038795730105</c:v>
                </c:pt>
                <c:pt idx="2">
                  <c:v>-2.8998881870597648</c:v>
                </c:pt>
                <c:pt idx="3">
                  <c:v>-2.1124830267626469</c:v>
                </c:pt>
                <c:pt idx="4">
                  <c:v>-1.7685655352723968</c:v>
                </c:pt>
                <c:pt idx="5">
                  <c:v>-2.2033440886626869</c:v>
                </c:pt>
                <c:pt idx="6">
                  <c:v>-0.29041577211354408</c:v>
                </c:pt>
                <c:pt idx="7">
                  <c:v>3.6918276943677109E-2</c:v>
                </c:pt>
                <c:pt idx="8">
                  <c:v>2.0924458692676442</c:v>
                </c:pt>
                <c:pt idx="9">
                  <c:v>4.748141234533656</c:v>
                </c:pt>
                <c:pt idx="10">
                  <c:v>4.2745190202228622</c:v>
                </c:pt>
                <c:pt idx="11">
                  <c:v>4.6264787145288739</c:v>
                </c:pt>
                <c:pt idx="12">
                  <c:v>3.2846288283044132</c:v>
                </c:pt>
                <c:pt idx="13">
                  <c:v>0.270384349171857</c:v>
                </c:pt>
                <c:pt idx="14">
                  <c:v>-0.97261344074500422</c:v>
                </c:pt>
                <c:pt idx="15">
                  <c:v>-1.8476283974161238</c:v>
                </c:pt>
                <c:pt idx="16">
                  <c:v>-4.812412995562422</c:v>
                </c:pt>
                <c:pt idx="17">
                  <c:v>-3.9991331079796191</c:v>
                </c:pt>
              </c:numCache>
            </c:numRef>
          </c:val>
          <c:smooth val="0"/>
          <c:extLst>
            <c:ext xmlns:c16="http://schemas.microsoft.com/office/drawing/2014/chart" uri="{C3380CC4-5D6E-409C-BE32-E72D297353CC}">
              <c16:uniqueId val="{00000007-9A31-48D5-ADCC-E56E69937937}"/>
            </c:ext>
          </c:extLst>
        </c:ser>
        <c:dLbls>
          <c:showLegendKey val="0"/>
          <c:showVal val="0"/>
          <c:showCatName val="0"/>
          <c:showSerName val="0"/>
          <c:showPercent val="0"/>
          <c:showBubbleSize val="0"/>
        </c:dLbls>
        <c:marker val="1"/>
        <c:smooth val="0"/>
        <c:axId val="306341760"/>
        <c:axId val="306343296"/>
      </c:lineChart>
      <c:catAx>
        <c:axId val="306341760"/>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306343296"/>
        <c:crosses val="autoZero"/>
        <c:auto val="1"/>
        <c:lblAlgn val="ctr"/>
        <c:lblOffset val="100"/>
        <c:tickLblSkip val="1"/>
        <c:noMultiLvlLbl val="0"/>
      </c:catAx>
      <c:valAx>
        <c:axId val="30634329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306341760"/>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3.7030065700093533</c:v>
                </c:pt>
                <c:pt idx="1">
                  <c:v>2.039744886696639</c:v>
                </c:pt>
                <c:pt idx="2">
                  <c:v>0.75885647273979273</c:v>
                </c:pt>
                <c:pt idx="3">
                  <c:v>0.65593996809838673</c:v>
                </c:pt>
                <c:pt idx="4">
                  <c:v>0.61008012411581825</c:v>
                </c:pt>
                <c:pt idx="5">
                  <c:v>1.2860741380870799</c:v>
                </c:pt>
              </c:numCache>
            </c:numRef>
          </c:val>
          <c:extLst>
            <c:ext xmlns:c16="http://schemas.microsoft.com/office/drawing/2014/chart" uri="{C3380CC4-5D6E-409C-BE32-E72D297353CC}">
              <c16:uniqueId val="{00000000-0501-4D5F-9C96-0FEC1B3BEBBA}"/>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0.0</c:formatCode>
                <c:ptCount val="6"/>
                <c:pt idx="0">
                  <c:v>0</c:v>
                </c:pt>
                <c:pt idx="1">
                  <c:v>0</c:v>
                </c:pt>
                <c:pt idx="2">
                  <c:v>-0.67444374001273288</c:v>
                </c:pt>
                <c:pt idx="3">
                  <c:v>0</c:v>
                </c:pt>
                <c:pt idx="4">
                  <c:v>0</c:v>
                </c:pt>
                <c:pt idx="5">
                  <c:v>-0.68693343890185687</c:v>
                </c:pt>
              </c:numCache>
            </c:numRef>
          </c:val>
          <c:extLst>
            <c:ext xmlns:c16="http://schemas.microsoft.com/office/drawing/2014/chart" uri="{C3380CC4-5D6E-409C-BE32-E72D297353CC}">
              <c16:uniqueId val="{00000001-0501-4D5F-9C96-0FEC1B3BEBBA}"/>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0.21525790674990417</c:v>
                </c:pt>
                <c:pt idx="1">
                  <c:v>0.35158791435817721</c:v>
                </c:pt>
                <c:pt idx="2">
                  <c:v>0.44486634061646879</c:v>
                </c:pt>
                <c:pt idx="3">
                  <c:v>0.64577372024971247</c:v>
                </c:pt>
                <c:pt idx="4">
                  <c:v>0.81798004564963622</c:v>
                </c:pt>
                <c:pt idx="5">
                  <c:v>0.91125847190792786</c:v>
                </c:pt>
              </c:numCache>
            </c:numRef>
          </c:val>
          <c:extLst>
            <c:ext xmlns:c16="http://schemas.microsoft.com/office/drawing/2014/chart" uri="{C3380CC4-5D6E-409C-BE32-E72D297353CC}">
              <c16:uniqueId val="{00000002-0501-4D5F-9C96-0FEC1B3BEBBA}"/>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9.7040852150518262</c:v>
                </c:pt>
                <c:pt idx="1">
                  <c:v>9.2005713595538499</c:v>
                </c:pt>
                <c:pt idx="2">
                  <c:v>10.161825083686347</c:v>
                </c:pt>
                <c:pt idx="3">
                  <c:v>10.75688691291122</c:v>
                </c:pt>
                <c:pt idx="4">
                  <c:v>11.397722728999552</c:v>
                </c:pt>
                <c:pt idx="5">
                  <c:v>12.313202466268592</c:v>
                </c:pt>
              </c:numCache>
            </c:numRef>
          </c:val>
          <c:extLst>
            <c:ext xmlns:c16="http://schemas.microsoft.com/office/drawing/2014/chart" uri="{C3380CC4-5D6E-409C-BE32-E72D297353CC}">
              <c16:uniqueId val="{00000003-0501-4D5F-9C96-0FEC1B3BEBBA}"/>
            </c:ext>
          </c:extLst>
        </c:ser>
        <c:ser>
          <c:idx val="5"/>
          <c:order val="5"/>
          <c:tx>
            <c:strRef>
              <c:f>Sheet1!$A$7</c:f>
              <c:strCache>
                <c:ptCount val="1"/>
                <c:pt idx="0">
                  <c:v>առևտուր</c:v>
                </c:pt>
              </c:strCache>
            </c:strRef>
          </c:tx>
          <c:spPr>
            <a:solidFill>
              <a:srgbClr val="F79646">
                <a:lumMod val="75000"/>
              </a:srgbClr>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1.4245462451075392</c:v>
                </c:pt>
                <c:pt idx="1">
                  <c:v>1.0157634095549413</c:v>
                </c:pt>
                <c:pt idx="2">
                  <c:v>0.941439257636286</c:v>
                </c:pt>
                <c:pt idx="3">
                  <c:v>0.96621397494250449</c:v>
                </c:pt>
                <c:pt idx="4">
                  <c:v>1.102474920126705</c:v>
                </c:pt>
                <c:pt idx="5">
                  <c:v>1.3254473758826673</c:v>
                </c:pt>
              </c:numCache>
            </c:numRef>
          </c:val>
          <c:extLst>
            <c:ext xmlns:c16="http://schemas.microsoft.com/office/drawing/2014/chart" uri="{C3380CC4-5D6E-409C-BE32-E72D297353CC}">
              <c16:uniqueId val="{00000004-0501-4D5F-9C96-0FEC1B3BEBBA}"/>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Sheet1!$B$1:$G$1</c:f>
              <c:strCache>
                <c:ptCount val="6"/>
                <c:pt idx="0">
                  <c:v>I</c:v>
                </c:pt>
                <c:pt idx="1">
                  <c:v>I-II</c:v>
                </c:pt>
                <c:pt idx="2">
                  <c:v>I-III</c:v>
                </c:pt>
                <c:pt idx="3">
                  <c:v>I-IV</c:v>
                </c:pt>
                <c:pt idx="4">
                  <c:v>I-V</c:v>
                </c:pt>
                <c:pt idx="5">
                  <c:v>I-VI</c:v>
                </c:pt>
              </c:strCache>
            </c:strRef>
          </c:cat>
          <c:val>
            <c:numRef>
              <c:f>Sheet1!$B$8:$G$8</c:f>
              <c:numCache>
                <c:formatCode>0.0</c:formatCode>
                <c:ptCount val="6"/>
                <c:pt idx="0">
                  <c:v>-0.24689593691862655</c:v>
                </c:pt>
                <c:pt idx="1">
                  <c:v>-1.2423431948386039</c:v>
                </c:pt>
                <c:pt idx="2">
                  <c:v>-1.9447183799585481</c:v>
                </c:pt>
                <c:pt idx="3">
                  <c:v>-3.5812380341616059</c:v>
                </c:pt>
                <c:pt idx="4">
                  <c:v>-3.7282578188917075</c:v>
                </c:pt>
                <c:pt idx="5">
                  <c:v>-3.3490490132444144</c:v>
                </c:pt>
              </c:numCache>
            </c:numRef>
          </c:val>
          <c:extLst>
            <c:ext xmlns:c16="http://schemas.microsoft.com/office/drawing/2014/chart" uri="{C3380CC4-5D6E-409C-BE32-E72D297353CC}">
              <c16:uniqueId val="{00000005-0501-4D5F-9C96-0FEC1B3BEBBA}"/>
            </c:ext>
          </c:extLst>
        </c:ser>
        <c:dLbls>
          <c:showLegendKey val="0"/>
          <c:showVal val="0"/>
          <c:showCatName val="0"/>
          <c:showSerName val="0"/>
          <c:showPercent val="0"/>
          <c:showBubbleSize val="0"/>
        </c:dLbls>
        <c:gapWidth val="150"/>
        <c:overlap val="100"/>
        <c:axId val="274183296"/>
        <c:axId val="274184832"/>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501-4D5F-9C96-0FEC1B3BEBBA}"/>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501-4D5F-9C96-0FEC1B3BEBBA}"/>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501-4D5F-9C96-0FEC1B3BEBBA}"/>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501-4D5F-9C96-0FEC1B3BEBBA}"/>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501-4D5F-9C96-0FEC1B3BEBBA}"/>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501-4D5F-9C96-0FEC1B3BEBBA}"/>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01-4D5F-9C96-0FEC1B3BEBBA}"/>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01-4D5F-9C96-0FEC1B3BEBBA}"/>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501-4D5F-9C96-0FEC1B3BEBBA}"/>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501-4D5F-9C96-0FEC1B3BEB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14.799999999999997</c:v>
                </c:pt>
                <c:pt idx="1">
                  <c:v>11.365324375325002</c:v>
                </c:pt>
                <c:pt idx="2">
                  <c:v>9.6878250347076147</c:v>
                </c:pt>
                <c:pt idx="3">
                  <c:v>9.4435765420402191</c:v>
                </c:pt>
                <c:pt idx="4">
                  <c:v>10.200000000000003</c:v>
                </c:pt>
                <c:pt idx="5">
                  <c:v>11.799999999999997</c:v>
                </c:pt>
              </c:numCache>
            </c:numRef>
          </c:val>
          <c:smooth val="0"/>
          <c:extLst>
            <c:ext xmlns:c16="http://schemas.microsoft.com/office/drawing/2014/chart" uri="{C3380CC4-5D6E-409C-BE32-E72D297353CC}">
              <c16:uniqueId val="{00000010-0501-4D5F-9C96-0FEC1B3BEBBA}"/>
            </c:ext>
          </c:extLst>
        </c:ser>
        <c:dLbls>
          <c:showLegendKey val="0"/>
          <c:showVal val="0"/>
          <c:showCatName val="0"/>
          <c:showSerName val="0"/>
          <c:showPercent val="0"/>
          <c:showBubbleSize val="0"/>
        </c:dLbls>
        <c:marker val="1"/>
        <c:smooth val="0"/>
        <c:axId val="274183296"/>
        <c:axId val="274184832"/>
      </c:lineChart>
      <c:catAx>
        <c:axId val="274183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184832"/>
        <c:crosses val="autoZero"/>
        <c:auto val="1"/>
        <c:lblAlgn val="ctr"/>
        <c:lblOffset val="100"/>
        <c:noMultiLvlLbl val="0"/>
      </c:catAx>
      <c:valAx>
        <c:axId val="274184832"/>
        <c:scaling>
          <c:orientation val="minMax"/>
          <c:max val="16"/>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4183296"/>
        <c:crosses val="autoZero"/>
        <c:crossBetween val="between"/>
        <c:majorUnit val="3"/>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3.7030065700093533</c:v>
                </c:pt>
                <c:pt idx="1">
                  <c:v>0.64303706904354152</c:v>
                </c:pt>
                <c:pt idx="2">
                  <c:v>-1.4191162903029866</c:v>
                </c:pt>
                <c:pt idx="3">
                  <c:v>0.37695276461173111</c:v>
                </c:pt>
                <c:pt idx="4">
                  <c:v>0.44347384071968293</c:v>
                </c:pt>
                <c:pt idx="5">
                  <c:v>4.2130014868369878</c:v>
                </c:pt>
              </c:numCache>
            </c:numRef>
          </c:val>
          <c:extLst>
            <c:ext xmlns:c16="http://schemas.microsoft.com/office/drawing/2014/chart" uri="{C3380CC4-5D6E-409C-BE32-E72D297353CC}">
              <c16:uniqueId val="{00000000-6143-4A11-A097-C3E074D17260}"/>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0.21525790674990417</c:v>
                </c:pt>
                <c:pt idx="1">
                  <c:v>0.45204160417479855</c:v>
                </c:pt>
                <c:pt idx="2">
                  <c:v>0.58837161178307162</c:v>
                </c:pt>
                <c:pt idx="3">
                  <c:v>1.1193411150995012</c:v>
                </c:pt>
                <c:pt idx="4">
                  <c:v>1.2987227040577547</c:v>
                </c:pt>
                <c:pt idx="5">
                  <c:v>1.1982690142411334</c:v>
                </c:pt>
              </c:numCache>
            </c:numRef>
          </c:val>
          <c:extLst>
            <c:ext xmlns:c16="http://schemas.microsoft.com/office/drawing/2014/chart" uri="{C3380CC4-5D6E-409C-BE32-E72D297353CC}">
              <c16:uniqueId val="{00000001-6143-4A11-A097-C3E074D17260}"/>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9.7040852150518262</c:v>
                </c:pt>
                <c:pt idx="1">
                  <c:v>8.6970575040558806</c:v>
                </c:pt>
                <c:pt idx="2">
                  <c:v>11.855462597634071</c:v>
                </c:pt>
                <c:pt idx="3">
                  <c:v>12.404750439995491</c:v>
                </c:pt>
                <c:pt idx="4">
                  <c:v>13.8237440327625</c:v>
                </c:pt>
                <c:pt idx="5">
                  <c:v>16.24976533652546</c:v>
                </c:pt>
              </c:numCache>
            </c:numRef>
          </c:val>
          <c:extLst>
            <c:ext xmlns:c16="http://schemas.microsoft.com/office/drawing/2014/chart" uri="{C3380CC4-5D6E-409C-BE32-E72D297353CC}">
              <c16:uniqueId val="{00000002-6143-4A11-A097-C3E074D17260}"/>
            </c:ext>
          </c:extLst>
        </c:ser>
        <c:ser>
          <c:idx val="4"/>
          <c:order val="4"/>
          <c:tx>
            <c:strRef>
              <c:f>Sheet1!$A$6</c:f>
              <c:strCache>
                <c:ptCount val="1"/>
                <c:pt idx="0">
                  <c:v>առևտուր</c:v>
                </c:pt>
              </c:strCache>
            </c:strRef>
          </c:tx>
          <c:spPr>
            <a:solidFill>
              <a:srgbClr val="F79646">
                <a:lumMod val="75000"/>
              </a:srgbClr>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1.4245462451075392</c:v>
                </c:pt>
                <c:pt idx="1">
                  <c:v>0.6565300086147785</c:v>
                </c:pt>
                <c:pt idx="2">
                  <c:v>0.81756567110519562</c:v>
                </c:pt>
                <c:pt idx="3">
                  <c:v>1.0653128441673765</c:v>
                </c:pt>
                <c:pt idx="4">
                  <c:v>1.5360324729855213</c:v>
                </c:pt>
                <c:pt idx="5">
                  <c:v>2.2544992748658448</c:v>
                </c:pt>
              </c:numCache>
            </c:numRef>
          </c:val>
          <c:extLst>
            <c:ext xmlns:c16="http://schemas.microsoft.com/office/drawing/2014/chart" uri="{C3380CC4-5D6E-409C-BE32-E72D297353CC}">
              <c16:uniqueId val="{00000003-6143-4A11-A097-C3E074D17260}"/>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Sheet1!$B$1:$G$1</c:f>
              <c:strCache>
                <c:ptCount val="6"/>
                <c:pt idx="0">
                  <c:v>I</c:v>
                </c:pt>
                <c:pt idx="1">
                  <c:v>II</c:v>
                </c:pt>
                <c:pt idx="2">
                  <c:v>III</c:v>
                </c:pt>
                <c:pt idx="3">
                  <c:v>IV</c:v>
                </c:pt>
                <c:pt idx="4">
                  <c:v>V</c:v>
                </c:pt>
                <c:pt idx="5">
                  <c:v>VI</c:v>
                </c:pt>
              </c:strCache>
            </c:strRef>
          </c:cat>
          <c:val>
            <c:numRef>
              <c:f>Sheet1!$B$7:$G$7</c:f>
              <c:numCache>
                <c:formatCode>0.0</c:formatCode>
                <c:ptCount val="6"/>
                <c:pt idx="0">
                  <c:v>-0.24689593691862655</c:v>
                </c:pt>
                <c:pt idx="1">
                  <c:v>-2.1486661858890024</c:v>
                </c:pt>
                <c:pt idx="2">
                  <c:v>-5.0422835902193555</c:v>
                </c:pt>
                <c:pt idx="3">
                  <c:v>-6.1663571638741033</c:v>
                </c:pt>
                <c:pt idx="4">
                  <c:v>-4.1019730505254586</c:v>
                </c:pt>
                <c:pt idx="5">
                  <c:v>-5.4155351124694278</c:v>
                </c:pt>
              </c:numCache>
            </c:numRef>
          </c:val>
          <c:extLst>
            <c:ext xmlns:c16="http://schemas.microsoft.com/office/drawing/2014/chart" uri="{C3380CC4-5D6E-409C-BE32-E72D297353CC}">
              <c16:uniqueId val="{00000004-6143-4A11-A097-C3E074D17260}"/>
            </c:ext>
          </c:extLst>
        </c:ser>
        <c:dLbls>
          <c:showLegendKey val="0"/>
          <c:showVal val="0"/>
          <c:showCatName val="0"/>
          <c:showSerName val="0"/>
          <c:showPercent val="0"/>
          <c:showBubbleSize val="0"/>
        </c:dLbls>
        <c:gapWidth val="219"/>
        <c:overlap val="100"/>
        <c:axId val="273803136"/>
        <c:axId val="273804672"/>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143-4A11-A097-C3E074D17260}"/>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143-4A11-A097-C3E074D17260}"/>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143-4A11-A097-C3E074D17260}"/>
                </c:ext>
              </c:extLst>
            </c:dLbl>
            <c:dLbl>
              <c:idx val="3"/>
              <c:layout>
                <c:manualLayout>
                  <c:x val="-7.8692797469716913E-2"/>
                  <c:y val="-4.42037289909263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143-4A11-A097-C3E074D17260}"/>
                </c:ext>
              </c:extLst>
            </c:dLbl>
            <c:dLbl>
              <c:idx val="4"/>
              <c:layout>
                <c:manualLayout>
                  <c:x val="-5.3374731943995959E-2"/>
                  <c:y val="-5.7169693334524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143-4A11-A097-C3E074D17260}"/>
                </c:ext>
              </c:extLst>
            </c:dLbl>
            <c:dLbl>
              <c:idx val="5"/>
              <c:layout>
                <c:manualLayout>
                  <c:x val="-5.8885383806519379E-2"/>
                  <c:y val="-5.18638573743922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143-4A11-A097-C3E074D17260}"/>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43-4A11-A097-C3E074D17260}"/>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43-4A11-A097-C3E074D17260}"/>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43-4A11-A097-C3E074D17260}"/>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43-4A11-A097-C3E074D17260}"/>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14.799999999999997</c:v>
                </c:pt>
                <c:pt idx="1">
                  <c:v>8.2999999999999972</c:v>
                </c:pt>
                <c:pt idx="2">
                  <c:v>6.7999999999999972</c:v>
                </c:pt>
                <c:pt idx="3">
                  <c:v>8.7999999999999972</c:v>
                </c:pt>
                <c:pt idx="4">
                  <c:v>13</c:v>
                </c:pt>
                <c:pt idx="5">
                  <c:v>18.5</c:v>
                </c:pt>
              </c:numCache>
            </c:numRef>
          </c:val>
          <c:smooth val="0"/>
          <c:extLst>
            <c:ext xmlns:c16="http://schemas.microsoft.com/office/drawing/2014/chart" uri="{C3380CC4-5D6E-409C-BE32-E72D297353CC}">
              <c16:uniqueId val="{0000000F-6143-4A11-A097-C3E074D17260}"/>
            </c:ext>
          </c:extLst>
        </c:ser>
        <c:dLbls>
          <c:showLegendKey val="0"/>
          <c:showVal val="0"/>
          <c:showCatName val="0"/>
          <c:showSerName val="0"/>
          <c:showPercent val="0"/>
          <c:showBubbleSize val="0"/>
        </c:dLbls>
        <c:marker val="1"/>
        <c:smooth val="0"/>
        <c:axId val="273803136"/>
        <c:axId val="273804672"/>
      </c:lineChart>
      <c:catAx>
        <c:axId val="27380313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804672"/>
        <c:crosses val="autoZero"/>
        <c:auto val="1"/>
        <c:lblAlgn val="ctr"/>
        <c:lblOffset val="100"/>
        <c:noMultiLvlLbl val="0"/>
      </c:catAx>
      <c:valAx>
        <c:axId val="273804672"/>
        <c:scaling>
          <c:orientation val="minMax"/>
          <c:max val="25"/>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3803136"/>
        <c:crosses val="autoZero"/>
        <c:crossBetween val="between"/>
        <c:majorUnit val="7"/>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Sheet1!$C$2:$C$61</c:f>
              <c:numCache>
                <c:formatCode>0.0</c:formatCode>
                <c:ptCount val="10"/>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numCache>
            </c:numRef>
          </c:val>
          <c:extLst>
            <c:ext xmlns:c16="http://schemas.microsoft.com/office/drawing/2014/chart" uri="{C3380CC4-5D6E-409C-BE32-E72D297353CC}">
              <c16:uniqueId val="{00000000-536F-4746-9182-1E9BD29CF171}"/>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Sheet1!$D$2:$D$61</c:f>
              <c:numCache>
                <c:formatCode>0.0</c:formatCode>
                <c:ptCount val="10"/>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numCache>
            </c:numRef>
          </c:val>
          <c:extLst>
            <c:ext xmlns:c16="http://schemas.microsoft.com/office/drawing/2014/chart" uri="{C3380CC4-5D6E-409C-BE32-E72D297353CC}">
              <c16:uniqueId val="{00000001-536F-4746-9182-1E9BD29CF171}"/>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Sheet1!$E$2:$E$61</c:f>
              <c:numCache>
                <c:formatCode>0.0</c:formatCode>
                <c:ptCount val="10"/>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numCache>
            </c:numRef>
          </c:val>
          <c:extLst>
            <c:ext xmlns:c16="http://schemas.microsoft.com/office/drawing/2014/chart" uri="{C3380CC4-5D6E-409C-BE32-E72D297353CC}">
              <c16:uniqueId val="{00000002-536F-4746-9182-1E9BD29CF171}"/>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Sheet1!$F$2:$F$61</c:f>
              <c:numCache>
                <c:formatCode>0.0</c:formatCode>
                <c:ptCount val="10"/>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numCache>
            </c:numRef>
          </c:val>
          <c:extLst>
            <c:ext xmlns:c16="http://schemas.microsoft.com/office/drawing/2014/chart" uri="{C3380CC4-5D6E-409C-BE32-E72D297353CC}">
              <c16:uniqueId val="{00000003-536F-4746-9182-1E9BD29CF171}"/>
            </c:ext>
          </c:extLst>
        </c:ser>
        <c:dLbls>
          <c:showLegendKey val="0"/>
          <c:showVal val="0"/>
          <c:showCatName val="0"/>
          <c:showSerName val="0"/>
          <c:showPercent val="0"/>
          <c:showBubbleSize val="0"/>
        </c:dLbls>
        <c:gapWidth val="100"/>
        <c:overlap val="100"/>
        <c:axId val="273854464"/>
        <c:axId val="27385600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c:ext xmlns:c16="http://schemas.microsoft.com/office/drawing/2014/chart" uri="{C3380CC4-5D6E-409C-BE32-E72D297353CC}">
                <c16:uniqueId val="{00000004-536F-4746-9182-1E9BD29CF171}"/>
              </c:ext>
            </c:extLst>
          </c:dPt>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536F-4746-9182-1E9BD29CF171}"/>
              </c:ext>
            </c:extLst>
          </c:dPt>
          <c:dLbls>
            <c:dLbl>
              <c:idx val="4"/>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36F-4746-9182-1E9BD29CF171}"/>
                </c:ext>
              </c:extLst>
            </c:dLbl>
            <c:dLbl>
              <c:idx val="6"/>
              <c:layout>
                <c:manualLayout>
                  <c:x val="-2.9025239338555265E-2"/>
                  <c:y val="-3.7866817155756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36F-4746-9182-1E9BD29CF17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Sheet1!$B$2:$B$61</c:f>
              <c:numCache>
                <c:formatCode>0.0</c:formatCode>
                <c:ptCount val="10"/>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numCache>
            </c:numRef>
          </c:val>
          <c:smooth val="0"/>
          <c:extLst>
            <c:ext xmlns:c16="http://schemas.microsoft.com/office/drawing/2014/chart" uri="{C3380CC4-5D6E-409C-BE32-E72D297353CC}">
              <c16:uniqueId val="{00000008-536F-4746-9182-1E9BD29CF171}"/>
            </c:ext>
          </c:extLst>
        </c:ser>
        <c:dLbls>
          <c:showLegendKey val="0"/>
          <c:showVal val="0"/>
          <c:showCatName val="0"/>
          <c:showSerName val="0"/>
          <c:showPercent val="0"/>
          <c:showBubbleSize val="0"/>
        </c:dLbls>
        <c:marker val="1"/>
        <c:smooth val="0"/>
        <c:axId val="273854464"/>
        <c:axId val="273856000"/>
      </c:lineChart>
      <c:catAx>
        <c:axId val="2738544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73856000"/>
        <c:crosses val="autoZero"/>
        <c:auto val="1"/>
        <c:lblAlgn val="ctr"/>
        <c:lblOffset val="100"/>
        <c:noMultiLvlLbl val="0"/>
      </c:catAx>
      <c:valAx>
        <c:axId val="27385600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73854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7317931679248439"/>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Sheet1!$C$2:$C$61</c:f>
              <c:numCache>
                <c:formatCode>0.0</c:formatCode>
                <c:ptCount val="10"/>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numCache>
            </c:numRef>
          </c:val>
          <c:extLst>
            <c:ext xmlns:c16="http://schemas.microsoft.com/office/drawing/2014/chart" uri="{C3380CC4-5D6E-409C-BE32-E72D297353CC}">
              <c16:uniqueId val="{00000000-14B6-41D7-B692-910C5655AF9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Sheet1!$D$2:$D$61</c:f>
              <c:numCache>
                <c:formatCode>0.0</c:formatCode>
                <c:ptCount val="10"/>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numCache>
            </c:numRef>
          </c:val>
          <c:extLst>
            <c:ext xmlns:c16="http://schemas.microsoft.com/office/drawing/2014/chart" uri="{C3380CC4-5D6E-409C-BE32-E72D297353CC}">
              <c16:uniqueId val="{00000001-14B6-41D7-B692-910C5655AF9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Sheet1!$E$2:$E$61</c:f>
              <c:numCache>
                <c:formatCode>0.0</c:formatCode>
                <c:ptCount val="10"/>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numCache>
            </c:numRef>
          </c:val>
          <c:extLst>
            <c:ext xmlns:c16="http://schemas.microsoft.com/office/drawing/2014/chart" uri="{C3380CC4-5D6E-409C-BE32-E72D297353CC}">
              <c16:uniqueId val="{00000002-14B6-41D7-B692-910C5655AF93}"/>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Sheet1!$F$2:$F$61</c:f>
              <c:numCache>
                <c:formatCode>0.0</c:formatCode>
                <c:ptCount val="10"/>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numCache>
            </c:numRef>
          </c:val>
          <c:extLst>
            <c:ext xmlns:c16="http://schemas.microsoft.com/office/drawing/2014/chart" uri="{C3380CC4-5D6E-409C-BE32-E72D297353CC}">
              <c16:uniqueId val="{00000003-14B6-41D7-B692-910C5655AF93}"/>
            </c:ext>
          </c:extLst>
        </c:ser>
        <c:dLbls>
          <c:showLegendKey val="0"/>
          <c:showVal val="0"/>
          <c:showCatName val="0"/>
          <c:showSerName val="0"/>
          <c:showPercent val="0"/>
          <c:showBubbleSize val="0"/>
        </c:dLbls>
        <c:gapWidth val="100"/>
        <c:overlap val="100"/>
        <c:axId val="273584896"/>
        <c:axId val="27358643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14B6-41D7-B692-910C5655AF93}"/>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Sheet1!$A$2:$A$61</c:f>
              <c:strCache>
                <c:ptCount val="10"/>
                <c:pt idx="0">
                  <c:v>2020.3</c:v>
                </c:pt>
                <c:pt idx="1">
                  <c:v>2020.6</c:v>
                </c:pt>
                <c:pt idx="2">
                  <c:v>2020.9</c:v>
                </c:pt>
                <c:pt idx="3">
                  <c:v>2020.12</c:v>
                </c:pt>
                <c:pt idx="4">
                  <c:v>2021.3</c:v>
                </c:pt>
                <c:pt idx="5">
                  <c:v>2021.6</c:v>
                </c:pt>
                <c:pt idx="6">
                  <c:v>2021.9</c:v>
                </c:pt>
                <c:pt idx="7">
                  <c:v>2021.12</c:v>
                </c:pt>
                <c:pt idx="8">
                  <c:v>2022․3</c:v>
                </c:pt>
                <c:pt idx="9">
                  <c:v>2022․6</c:v>
                </c:pt>
              </c:strCache>
            </c:strRef>
          </c:cat>
          <c:val>
            <c:numRef>
              <c:f>Sheet1!$B$2:$B$61</c:f>
              <c:numCache>
                <c:formatCode>0.0</c:formatCode>
                <c:ptCount val="10"/>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numCache>
            </c:numRef>
          </c:val>
          <c:smooth val="0"/>
          <c:extLst>
            <c:ext xmlns:c16="http://schemas.microsoft.com/office/drawing/2014/chart" uri="{C3380CC4-5D6E-409C-BE32-E72D297353CC}">
              <c16:uniqueId val="{00000005-14B6-41D7-B692-910C5655AF93}"/>
            </c:ext>
          </c:extLst>
        </c:ser>
        <c:dLbls>
          <c:showLegendKey val="0"/>
          <c:showVal val="0"/>
          <c:showCatName val="0"/>
          <c:showSerName val="0"/>
          <c:showPercent val="0"/>
          <c:showBubbleSize val="0"/>
        </c:dLbls>
        <c:marker val="1"/>
        <c:smooth val="0"/>
        <c:axId val="273584896"/>
        <c:axId val="273586432"/>
      </c:lineChart>
      <c:catAx>
        <c:axId val="27358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73586432"/>
        <c:crosses val="autoZero"/>
        <c:auto val="1"/>
        <c:lblAlgn val="ctr"/>
        <c:lblOffset val="100"/>
        <c:noMultiLvlLbl val="0"/>
      </c:catAx>
      <c:valAx>
        <c:axId val="273586432"/>
        <c:scaling>
          <c:orientation val="minMax"/>
          <c:max val="1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7358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8EB0-4507-B661-729F69416852}"/>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8EB0-4507-B661-729F69416852}"/>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8EB0-4507-B661-729F69416852}"/>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8EB0-4507-B661-729F69416852}"/>
            </c:ext>
          </c:extLst>
        </c:ser>
        <c:dLbls>
          <c:showLegendKey val="0"/>
          <c:showVal val="0"/>
          <c:showCatName val="0"/>
          <c:showSerName val="0"/>
          <c:showPercent val="0"/>
          <c:showBubbleSize val="0"/>
        </c:dLbls>
        <c:gapWidth val="100"/>
        <c:overlap val="100"/>
        <c:axId val="274341888"/>
        <c:axId val="27434342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8EB0-4507-B661-729F69416852}"/>
            </c:ext>
          </c:extLst>
        </c:ser>
        <c:dLbls>
          <c:showLegendKey val="0"/>
          <c:showVal val="0"/>
          <c:showCatName val="0"/>
          <c:showSerName val="0"/>
          <c:showPercent val="0"/>
          <c:showBubbleSize val="0"/>
        </c:dLbls>
        <c:marker val="1"/>
        <c:smooth val="0"/>
        <c:axId val="274341888"/>
        <c:axId val="274343424"/>
      </c:lineChart>
      <c:catAx>
        <c:axId val="274341888"/>
        <c:scaling>
          <c:orientation val="minMax"/>
        </c:scaling>
        <c:delete val="1"/>
        <c:axPos val="b"/>
        <c:numFmt formatCode="General" sourceLinked="1"/>
        <c:majorTickMark val="out"/>
        <c:minorTickMark val="none"/>
        <c:tickLblPos val="nextTo"/>
        <c:crossAx val="274343424"/>
        <c:crosses val="autoZero"/>
        <c:auto val="1"/>
        <c:lblAlgn val="ctr"/>
        <c:lblOffset val="100"/>
        <c:noMultiLvlLbl val="0"/>
      </c:catAx>
      <c:valAx>
        <c:axId val="274343424"/>
        <c:scaling>
          <c:orientation val="minMax"/>
        </c:scaling>
        <c:delete val="1"/>
        <c:axPos val="l"/>
        <c:numFmt formatCode="General" sourceLinked="1"/>
        <c:majorTickMark val="none"/>
        <c:minorTickMark val="none"/>
        <c:tickLblPos val="nextTo"/>
        <c:crossAx val="274341888"/>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833111477111205E-2"/>
          <c:y val="5.2009456264775412E-2"/>
          <c:w val="0.92015447209499956"/>
          <c:h val="0.54179743489510623"/>
        </c:manualLayout>
      </c:layout>
      <c:lineChart>
        <c:grouping val="standard"/>
        <c:varyColors val="0"/>
        <c:ser>
          <c:idx val="0"/>
          <c:order val="0"/>
          <c:tx>
            <c:strRef>
              <c:f>Sheet1!$B$1</c:f>
              <c:strCache>
                <c:ptCount val="1"/>
                <c:pt idx="0">
                  <c:v>ԿԲ ռեպո</c:v>
                </c:pt>
              </c:strCache>
            </c:strRef>
          </c:tx>
          <c:spPr>
            <a:ln w="31750" cap="rnd">
              <a:solidFill>
                <a:schemeClr val="tx1"/>
              </a:solidFill>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Sheet1!$B$2:$B$19</c:f>
              <c:numCache>
                <c:formatCode>0.0</c:formatCode>
                <c:ptCount val="18"/>
                <c:pt idx="0">
                  <c:v>5.25</c:v>
                </c:pt>
                <c:pt idx="1">
                  <c:v>5.5</c:v>
                </c:pt>
                <c:pt idx="2">
                  <c:v>5.5</c:v>
                </c:pt>
                <c:pt idx="3">
                  <c:v>5.5</c:v>
                </c:pt>
                <c:pt idx="4">
                  <c:v>6</c:v>
                </c:pt>
                <c:pt idx="5">
                  <c:v>6.5</c:v>
                </c:pt>
                <c:pt idx="6">
                  <c:v>6.5</c:v>
                </c:pt>
                <c:pt idx="7">
                  <c:v>7</c:v>
                </c:pt>
                <c:pt idx="8">
                  <c:v>7.25</c:v>
                </c:pt>
                <c:pt idx="9">
                  <c:v>7.25</c:v>
                </c:pt>
                <c:pt idx="10">
                  <c:v>7.25</c:v>
                </c:pt>
                <c:pt idx="11">
                  <c:v>7.75</c:v>
                </c:pt>
                <c:pt idx="12">
                  <c:v>7.75</c:v>
                </c:pt>
                <c:pt idx="13">
                  <c:v>8</c:v>
                </c:pt>
                <c:pt idx="14">
                  <c:v>9.25</c:v>
                </c:pt>
                <c:pt idx="15">
                  <c:v>9.25</c:v>
                </c:pt>
                <c:pt idx="16">
                  <c:v>9.25</c:v>
                </c:pt>
                <c:pt idx="17">
                  <c:v>9.25</c:v>
                </c:pt>
              </c:numCache>
            </c:numRef>
          </c:val>
          <c:smooth val="0"/>
          <c:extLst>
            <c:ext xmlns:c16="http://schemas.microsoft.com/office/drawing/2014/chart" uri="{C3380CC4-5D6E-409C-BE32-E72D297353CC}">
              <c16:uniqueId val="{00000000-21C0-4519-B528-BD63EEDEA8E1}"/>
            </c:ext>
          </c:extLst>
        </c:ser>
        <c:ser>
          <c:idx val="1"/>
          <c:order val="1"/>
          <c:tx>
            <c:strRef>
              <c:f>Sheet1!$C$1</c:f>
              <c:strCache>
                <c:ptCount val="1"/>
                <c:pt idx="0">
                  <c:v>Միջբանկային ռեպո</c:v>
                </c:pt>
              </c:strCache>
            </c:strRef>
          </c:tx>
          <c:spPr>
            <a:ln w="19050" cap="rnd">
              <a:solidFill>
                <a:schemeClr val="accent2"/>
              </a:solidFill>
              <a:prstDash val="solid"/>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Sheet1!$C$2:$C$19</c:f>
              <c:numCache>
                <c:formatCode>0.0</c:formatCode>
                <c:ptCount val="18"/>
                <c:pt idx="0">
                  <c:v>5.49</c:v>
                </c:pt>
                <c:pt idx="1">
                  <c:v>5.56</c:v>
                </c:pt>
                <c:pt idx="2">
                  <c:v>5.54</c:v>
                </c:pt>
                <c:pt idx="3">
                  <c:v>5.54</c:v>
                </c:pt>
                <c:pt idx="4">
                  <c:v>6.71</c:v>
                </c:pt>
                <c:pt idx="5">
                  <c:v>6.48</c:v>
                </c:pt>
                <c:pt idx="6">
                  <c:v>6.93</c:v>
                </c:pt>
                <c:pt idx="7">
                  <c:v>7.24</c:v>
                </c:pt>
                <c:pt idx="8">
                  <c:v>7.17</c:v>
                </c:pt>
                <c:pt idx="9">
                  <c:v>7.8</c:v>
                </c:pt>
                <c:pt idx="10">
                  <c:v>7</c:v>
                </c:pt>
                <c:pt idx="11">
                  <c:v>7.25</c:v>
                </c:pt>
                <c:pt idx="12">
                  <c:v>7.66</c:v>
                </c:pt>
                <c:pt idx="13">
                  <c:v>8.16</c:v>
                </c:pt>
                <c:pt idx="14">
                  <c:v>8.36</c:v>
                </c:pt>
                <c:pt idx="15">
                  <c:v>9.31</c:v>
                </c:pt>
                <c:pt idx="16">
                  <c:v>9.67</c:v>
                </c:pt>
              </c:numCache>
            </c:numRef>
          </c:val>
          <c:smooth val="0"/>
          <c:extLst>
            <c:ext xmlns:c16="http://schemas.microsoft.com/office/drawing/2014/chart" uri="{C3380CC4-5D6E-409C-BE32-E72D297353CC}">
              <c16:uniqueId val="{00000001-21C0-4519-B528-BD63EEDEA8E1}"/>
            </c:ext>
          </c:extLst>
        </c:ser>
        <c:ser>
          <c:idx val="2"/>
          <c:order val="2"/>
          <c:tx>
            <c:strRef>
              <c:f>Sheet1!$D$1</c:f>
              <c:strCache>
                <c:ptCount val="1"/>
                <c:pt idx="0">
                  <c:v>Պետական պարտատոմսեր, 1տ․</c:v>
                </c:pt>
              </c:strCache>
            </c:strRef>
          </c:tx>
          <c:spPr>
            <a:ln w="19050" cap="rnd">
              <a:solidFill>
                <a:schemeClr val="accent3"/>
              </a:solidFill>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Sheet1!$D$2:$D$19</c:f>
              <c:numCache>
                <c:formatCode>0.0</c:formatCode>
                <c:ptCount val="18"/>
                <c:pt idx="0">
                  <c:v>6.6997</c:v>
                </c:pt>
                <c:pt idx="1">
                  <c:v>6.8146299999999993</c:v>
                </c:pt>
                <c:pt idx="2">
                  <c:v>6.8283590909090899</c:v>
                </c:pt>
                <c:pt idx="3">
                  <c:v>6.8019863636363631</c:v>
                </c:pt>
                <c:pt idx="4">
                  <c:v>7.0305900000000019</c:v>
                </c:pt>
                <c:pt idx="5">
                  <c:v>7.416977272727272</c:v>
                </c:pt>
                <c:pt idx="6">
                  <c:v>7.6177190476190484</c:v>
                </c:pt>
                <c:pt idx="7">
                  <c:v>8.0989772727272733</c:v>
                </c:pt>
                <c:pt idx="8">
                  <c:v>8.4046714285714277</c:v>
                </c:pt>
                <c:pt idx="9">
                  <c:v>8.607838095238094</c:v>
                </c:pt>
                <c:pt idx="10">
                  <c:v>8.8321954545454542</c:v>
                </c:pt>
                <c:pt idx="11">
                  <c:v>8.902281818181816</c:v>
                </c:pt>
                <c:pt idx="12">
                  <c:v>9.057884210526316</c:v>
                </c:pt>
                <c:pt idx="13">
                  <c:v>8.99939</c:v>
                </c:pt>
                <c:pt idx="14">
                  <c:v>9.6898681818181824</c:v>
                </c:pt>
                <c:pt idx="15">
                  <c:v>10.165071428571427</c:v>
                </c:pt>
                <c:pt idx="16">
                  <c:v>10.262547619047622</c:v>
                </c:pt>
                <c:pt idx="17">
                  <c:v>10.307509090909091</c:v>
                </c:pt>
              </c:numCache>
            </c:numRef>
          </c:val>
          <c:smooth val="0"/>
          <c:extLst>
            <c:ext xmlns:c16="http://schemas.microsoft.com/office/drawing/2014/chart" uri="{C3380CC4-5D6E-409C-BE32-E72D297353CC}">
              <c16:uniqueId val="{00000002-21C0-4519-B528-BD63EEDEA8E1}"/>
            </c:ext>
          </c:extLst>
        </c:ser>
        <c:ser>
          <c:idx val="3"/>
          <c:order val="3"/>
          <c:tx>
            <c:strRef>
              <c:f>Sheet1!$E$1</c:f>
              <c:strCache>
                <c:ptCount val="1"/>
                <c:pt idx="0">
                  <c:v>Պետական պարտատոմսեր, 10տ․</c:v>
                </c:pt>
              </c:strCache>
            </c:strRef>
          </c:tx>
          <c:spPr>
            <a:ln w="19050" cap="rnd">
              <a:solidFill>
                <a:schemeClr val="accent4"/>
              </a:solidFill>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Sheet1!$E$2:$E$19</c:f>
              <c:numCache>
                <c:formatCode>0.0</c:formatCode>
                <c:ptCount val="18"/>
                <c:pt idx="0">
                  <c:v>9.1305357142857151</c:v>
                </c:pt>
                <c:pt idx="1">
                  <c:v>8.7364000000000015</c:v>
                </c:pt>
                <c:pt idx="2">
                  <c:v>8.8150272727272725</c:v>
                </c:pt>
                <c:pt idx="3">
                  <c:v>8.9161227272727253</c:v>
                </c:pt>
                <c:pt idx="4">
                  <c:v>9.0098500000000001</c:v>
                </c:pt>
                <c:pt idx="5">
                  <c:v>9.0018772727272722</c:v>
                </c:pt>
                <c:pt idx="6">
                  <c:v>9.2964285714285708</c:v>
                </c:pt>
                <c:pt idx="7">
                  <c:v>9.612345454545455</c:v>
                </c:pt>
                <c:pt idx="8">
                  <c:v>10.014661904761903</c:v>
                </c:pt>
                <c:pt idx="9">
                  <c:v>10.005904761904763</c:v>
                </c:pt>
                <c:pt idx="10">
                  <c:v>10.029559090909091</c:v>
                </c:pt>
                <c:pt idx="11">
                  <c:v>10.023227272727274</c:v>
                </c:pt>
                <c:pt idx="12">
                  <c:v>10.097063157894738</c:v>
                </c:pt>
                <c:pt idx="13">
                  <c:v>10.036735000000002</c:v>
                </c:pt>
                <c:pt idx="14">
                  <c:v>10.728454545454547</c:v>
                </c:pt>
                <c:pt idx="15">
                  <c:v>11.249590476190477</c:v>
                </c:pt>
                <c:pt idx="16">
                  <c:v>11.120128571428571</c:v>
                </c:pt>
                <c:pt idx="17">
                  <c:v>11.198654545454545</c:v>
                </c:pt>
              </c:numCache>
            </c:numRef>
          </c:val>
          <c:smooth val="0"/>
          <c:extLst>
            <c:ext xmlns:c16="http://schemas.microsoft.com/office/drawing/2014/chart" uri="{C3380CC4-5D6E-409C-BE32-E72D297353CC}">
              <c16:uniqueId val="{00000003-21C0-4519-B528-BD63EEDEA8E1}"/>
            </c:ext>
          </c:extLst>
        </c:ser>
        <c:ser>
          <c:idx val="4"/>
          <c:order val="4"/>
          <c:tx>
            <c:strRef>
              <c:f>Sheet1!$F$1</c:f>
              <c:strCache>
                <c:ptCount val="1"/>
                <c:pt idx="0">
                  <c:v>Վարկեր, մինչև 1 տ․</c:v>
                </c:pt>
              </c:strCache>
            </c:strRef>
          </c:tx>
          <c:spPr>
            <a:ln w="25400" cap="rnd">
              <a:solidFill>
                <a:schemeClr val="accent5"/>
              </a:solidFill>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Sheet1!$F$2:$F$19</c:f>
              <c:numCache>
                <c:formatCode>0.0</c:formatCode>
                <c:ptCount val="18"/>
                <c:pt idx="0">
                  <c:v>11.549209942466879</c:v>
                </c:pt>
                <c:pt idx="1">
                  <c:v>12.265284498474417</c:v>
                </c:pt>
                <c:pt idx="2">
                  <c:v>11.961990666081375</c:v>
                </c:pt>
                <c:pt idx="3">
                  <c:v>11.697603968729714</c:v>
                </c:pt>
                <c:pt idx="4">
                  <c:v>11.46349671816964</c:v>
                </c:pt>
                <c:pt idx="5">
                  <c:v>10.411636000567436</c:v>
                </c:pt>
                <c:pt idx="6">
                  <c:v>11.825994181857787</c:v>
                </c:pt>
                <c:pt idx="7">
                  <c:v>11.937044148439007</c:v>
                </c:pt>
                <c:pt idx="8">
                  <c:v>12.208102534160609</c:v>
                </c:pt>
                <c:pt idx="9">
                  <c:v>11.779293223642544</c:v>
                </c:pt>
                <c:pt idx="10">
                  <c:v>11.765812609481552</c:v>
                </c:pt>
                <c:pt idx="11">
                  <c:v>12.277436640171302</c:v>
                </c:pt>
                <c:pt idx="12">
                  <c:v>12.136173486114288</c:v>
                </c:pt>
                <c:pt idx="13">
                  <c:v>12.219833307639213</c:v>
                </c:pt>
                <c:pt idx="14">
                  <c:v>12.491087907189435</c:v>
                </c:pt>
                <c:pt idx="15">
                  <c:v>11.489323502789608</c:v>
                </c:pt>
                <c:pt idx="16">
                  <c:v>11.536903872779591</c:v>
                </c:pt>
                <c:pt idx="17">
                  <c:v>11.274733470496635</c:v>
                </c:pt>
              </c:numCache>
            </c:numRef>
          </c:val>
          <c:smooth val="0"/>
          <c:extLst>
            <c:ext xmlns:c16="http://schemas.microsoft.com/office/drawing/2014/chart" uri="{C3380CC4-5D6E-409C-BE32-E72D297353CC}">
              <c16:uniqueId val="{00000004-21C0-4519-B528-BD63EEDEA8E1}"/>
            </c:ext>
          </c:extLst>
        </c:ser>
        <c:ser>
          <c:idx val="5"/>
          <c:order val="5"/>
          <c:tx>
            <c:strRef>
              <c:f>Sheet1!$G$1</c:f>
              <c:strCache>
                <c:ptCount val="1"/>
                <c:pt idx="0">
                  <c:v>Ավանդներ, մինչև 1տ․</c:v>
                </c:pt>
              </c:strCache>
            </c:strRef>
          </c:tx>
          <c:spPr>
            <a:ln w="25400" cap="rnd">
              <a:solidFill>
                <a:schemeClr val="accent6"/>
              </a:solidFill>
              <a:prstDash val="solid"/>
              <a:round/>
            </a:ln>
            <a:effectLst/>
          </c:spPr>
          <c:marker>
            <c:symbol val="none"/>
          </c:marker>
          <c:cat>
            <c:strRef>
              <c:f>Sheet1!$A$2:$A$19</c:f>
              <c:strCache>
                <c:ptCount val="18"/>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strCache>
            </c:strRef>
          </c:cat>
          <c:val>
            <c:numRef>
              <c:f>Sheet1!$G$2:$G$19</c:f>
              <c:numCache>
                <c:formatCode>0.0</c:formatCode>
                <c:ptCount val="18"/>
                <c:pt idx="0">
                  <c:v>8.3431898134069336</c:v>
                </c:pt>
                <c:pt idx="1">
                  <c:v>8.1845675016329267</c:v>
                </c:pt>
                <c:pt idx="2">
                  <c:v>7.7422870380906073</c:v>
                </c:pt>
                <c:pt idx="3">
                  <c:v>8.258143495890641</c:v>
                </c:pt>
                <c:pt idx="4">
                  <c:v>8.336376778540556</c:v>
                </c:pt>
                <c:pt idx="5">
                  <c:v>8.0158616246163845</c:v>
                </c:pt>
                <c:pt idx="6">
                  <c:v>8.3801246219086263</c:v>
                </c:pt>
                <c:pt idx="7">
                  <c:v>8.4231469612643615</c:v>
                </c:pt>
                <c:pt idx="8">
                  <c:v>8.2773469777009598</c:v>
                </c:pt>
                <c:pt idx="9">
                  <c:v>8.4296232065051928</c:v>
                </c:pt>
                <c:pt idx="10">
                  <c:v>8.2398175292211864</c:v>
                </c:pt>
                <c:pt idx="11">
                  <c:v>8.2678332122473623</c:v>
                </c:pt>
                <c:pt idx="12">
                  <c:v>8.3938267500377108</c:v>
                </c:pt>
                <c:pt idx="13">
                  <c:v>8.5417269393471607</c:v>
                </c:pt>
                <c:pt idx="14">
                  <c:v>9.2964040296125265</c:v>
                </c:pt>
                <c:pt idx="15">
                  <c:v>9.210710627688707</c:v>
                </c:pt>
                <c:pt idx="16">
                  <c:v>8.4604892202941926</c:v>
                </c:pt>
                <c:pt idx="17">
                  <c:v>8.1287571727719037</c:v>
                </c:pt>
              </c:numCache>
            </c:numRef>
          </c:val>
          <c:smooth val="0"/>
          <c:extLst>
            <c:ext xmlns:c16="http://schemas.microsoft.com/office/drawing/2014/chart" uri="{C3380CC4-5D6E-409C-BE32-E72D297353CC}">
              <c16:uniqueId val="{00000005-21C0-4519-B528-BD63EEDEA8E1}"/>
            </c:ext>
          </c:extLst>
        </c:ser>
        <c:dLbls>
          <c:showLegendKey val="0"/>
          <c:showVal val="0"/>
          <c:showCatName val="0"/>
          <c:showSerName val="0"/>
          <c:showPercent val="0"/>
          <c:showBubbleSize val="0"/>
        </c:dLbls>
        <c:smooth val="0"/>
        <c:axId val="274124160"/>
        <c:axId val="274134144"/>
      </c:lineChart>
      <c:catAx>
        <c:axId val="27412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134144"/>
        <c:crosses val="autoZero"/>
        <c:auto val="1"/>
        <c:lblAlgn val="ctr"/>
        <c:lblOffset val="100"/>
        <c:noMultiLvlLbl val="0"/>
      </c:catAx>
      <c:valAx>
        <c:axId val="27413414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124160"/>
        <c:crosses val="autoZero"/>
        <c:crossBetween val="between"/>
      </c:valAx>
      <c:spPr>
        <a:solidFill>
          <a:schemeClr val="bg1"/>
        </a:solidFill>
        <a:ln>
          <a:noFill/>
        </a:ln>
        <a:effectLst/>
      </c:spPr>
    </c:plotArea>
    <c:legend>
      <c:legendPos val="b"/>
      <c:layout>
        <c:manualLayout>
          <c:xMode val="edge"/>
          <c:yMode val="edge"/>
          <c:x val="2.3400191021967526E-2"/>
          <c:y val="0.78664135068222851"/>
          <c:w val="0.96657115568290353"/>
          <c:h val="0.18498985499153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Sheet1!$B$1:$G$1</c:f>
              <c:strCache>
                <c:ptCount val="5"/>
                <c:pt idx="0">
                  <c:v>2018</c:v>
                </c:pt>
                <c:pt idx="1">
                  <c:v>2019</c:v>
                </c:pt>
                <c:pt idx="2">
                  <c:v>2020</c:v>
                </c:pt>
                <c:pt idx="3">
                  <c:v>2021</c:v>
                </c:pt>
                <c:pt idx="4">
                  <c:v>2022</c:v>
                </c:pt>
              </c:strCache>
            </c:strRef>
          </c:cat>
          <c:val>
            <c:numRef>
              <c:f>Sheet1!$B$2:$G$2</c:f>
              <c:numCache>
                <c:formatCode>0.0</c:formatCode>
                <c:ptCount val="5"/>
                <c:pt idx="0">
                  <c:v>1179.6736838037</c:v>
                </c:pt>
                <c:pt idx="1">
                  <c:v>1185.7264734812993</c:v>
                </c:pt>
                <c:pt idx="2">
                  <c:v>1118.4431101583996</c:v>
                </c:pt>
                <c:pt idx="3">
                  <c:v>1380.1116398392087</c:v>
                </c:pt>
                <c:pt idx="4">
                  <c:v>1881.5</c:v>
                </c:pt>
              </c:numCache>
            </c:numRef>
          </c:val>
          <c:extLst>
            <c:ext xmlns:c16="http://schemas.microsoft.com/office/drawing/2014/chart" uri="{C3380CC4-5D6E-409C-BE32-E72D297353CC}">
              <c16:uniqueId val="{00000000-80B1-4351-9A8F-F87393C3BA3F}"/>
            </c:ext>
          </c:extLst>
        </c:ser>
        <c:ser>
          <c:idx val="1"/>
          <c:order val="1"/>
          <c:tx>
            <c:strRef>
              <c:f>Sheet1!$A$3</c:f>
              <c:strCache>
                <c:ptCount val="1"/>
                <c:pt idx="0">
                  <c:v>Ներմուծում (CIF)</c:v>
                </c:pt>
              </c:strCache>
            </c:strRef>
          </c:tx>
          <c:invertIfNegative val="0"/>
          <c:cat>
            <c:strRef>
              <c:f>Sheet1!$B$1:$G$1</c:f>
              <c:strCache>
                <c:ptCount val="5"/>
                <c:pt idx="0">
                  <c:v>2018</c:v>
                </c:pt>
                <c:pt idx="1">
                  <c:v>2019</c:v>
                </c:pt>
                <c:pt idx="2">
                  <c:v>2020</c:v>
                </c:pt>
                <c:pt idx="3">
                  <c:v>2021</c:v>
                </c:pt>
                <c:pt idx="4">
                  <c:v>2022</c:v>
                </c:pt>
              </c:strCache>
            </c:strRef>
          </c:cat>
          <c:val>
            <c:numRef>
              <c:f>Sheet1!$B$3:$G$3</c:f>
              <c:numCache>
                <c:formatCode>0.0</c:formatCode>
                <c:ptCount val="5"/>
                <c:pt idx="0">
                  <c:v>2310.8474584200035</c:v>
                </c:pt>
                <c:pt idx="1">
                  <c:v>2323.7862352179968</c:v>
                </c:pt>
                <c:pt idx="2">
                  <c:v>2014.5262542900002</c:v>
                </c:pt>
                <c:pt idx="3">
                  <c:v>2199.2027405846184</c:v>
                </c:pt>
                <c:pt idx="4">
                  <c:v>3271</c:v>
                </c:pt>
              </c:numCache>
            </c:numRef>
          </c:val>
          <c:extLst>
            <c:ext xmlns:c16="http://schemas.microsoft.com/office/drawing/2014/chart" uri="{C3380CC4-5D6E-409C-BE32-E72D297353CC}">
              <c16:uniqueId val="{00000001-80B1-4351-9A8F-F87393C3BA3F}"/>
            </c:ext>
          </c:extLst>
        </c:ser>
        <c:ser>
          <c:idx val="2"/>
          <c:order val="2"/>
          <c:tx>
            <c:strRef>
              <c:f>Sheet1!$A$4</c:f>
              <c:strCache>
                <c:ptCount val="1"/>
                <c:pt idx="0">
                  <c:v>Առևտրային հաշվեկշիռ</c:v>
                </c:pt>
              </c:strCache>
            </c:strRef>
          </c:tx>
          <c:invertIfNegative val="0"/>
          <c:cat>
            <c:strRef>
              <c:f>Sheet1!$B$1:$G$1</c:f>
              <c:strCache>
                <c:ptCount val="5"/>
                <c:pt idx="0">
                  <c:v>2018</c:v>
                </c:pt>
                <c:pt idx="1">
                  <c:v>2019</c:v>
                </c:pt>
                <c:pt idx="2">
                  <c:v>2020</c:v>
                </c:pt>
                <c:pt idx="3">
                  <c:v>2021</c:v>
                </c:pt>
                <c:pt idx="4">
                  <c:v>2022</c:v>
                </c:pt>
              </c:strCache>
            </c:strRef>
          </c:cat>
          <c:val>
            <c:numRef>
              <c:f>Sheet1!$B$4:$G$4</c:f>
              <c:numCache>
                <c:formatCode>0.0</c:formatCode>
                <c:ptCount val="5"/>
                <c:pt idx="0">
                  <c:v>-1131.1737746163035</c:v>
                </c:pt>
                <c:pt idx="1">
                  <c:v>-1138.0597617366975</c:v>
                </c:pt>
                <c:pt idx="2">
                  <c:v>-896.08314413160065</c:v>
                </c:pt>
                <c:pt idx="3">
                  <c:v>-819.09110074540968</c:v>
                </c:pt>
                <c:pt idx="4">
                  <c:v>-1389.5</c:v>
                </c:pt>
              </c:numCache>
            </c:numRef>
          </c:val>
          <c:extLst>
            <c:ext xmlns:c16="http://schemas.microsoft.com/office/drawing/2014/chart" uri="{C3380CC4-5D6E-409C-BE32-E72D297353CC}">
              <c16:uniqueId val="{00000002-80B1-4351-9A8F-F87393C3BA3F}"/>
            </c:ext>
          </c:extLst>
        </c:ser>
        <c:dLbls>
          <c:showLegendKey val="0"/>
          <c:showVal val="0"/>
          <c:showCatName val="0"/>
          <c:showSerName val="0"/>
          <c:showPercent val="0"/>
          <c:showBubbleSize val="0"/>
        </c:dLbls>
        <c:gapWidth val="150"/>
        <c:axId val="274468224"/>
        <c:axId val="274474112"/>
      </c:barChart>
      <c:catAx>
        <c:axId val="274468224"/>
        <c:scaling>
          <c:orientation val="minMax"/>
        </c:scaling>
        <c:delete val="0"/>
        <c:axPos val="b"/>
        <c:numFmt formatCode="General" sourceLinked="1"/>
        <c:majorTickMark val="out"/>
        <c:minorTickMark val="none"/>
        <c:tickLblPos val="nextTo"/>
        <c:crossAx val="274474112"/>
        <c:crosses val="autoZero"/>
        <c:auto val="1"/>
        <c:lblAlgn val="ctr"/>
        <c:lblOffset val="100"/>
        <c:noMultiLvlLbl val="0"/>
      </c:catAx>
      <c:valAx>
        <c:axId val="274474112"/>
        <c:scaling>
          <c:orientation val="minMax"/>
        </c:scaling>
        <c:delete val="0"/>
        <c:axPos val="l"/>
        <c:majorGridlines/>
        <c:numFmt formatCode="0.0" sourceLinked="1"/>
        <c:majorTickMark val="out"/>
        <c:minorTickMark val="none"/>
        <c:tickLblPos val="nextTo"/>
        <c:crossAx val="274468224"/>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56CD2-6BF3-46DA-BC69-6CCE0101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5913</Words>
  <Characters>42733</Characters>
  <Application>Microsoft Office Word</Application>
  <DocSecurity>0</DocSecurity>
  <Lines>356</Lines>
  <Paragraphs>97</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48549</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Greta Adamyan</cp:lastModifiedBy>
  <cp:revision>6</cp:revision>
  <cp:lastPrinted>2022-08-09T10:29:00Z</cp:lastPrinted>
  <dcterms:created xsi:type="dcterms:W3CDTF">2024-04-29T08:52:00Z</dcterms:created>
  <dcterms:modified xsi:type="dcterms:W3CDTF">2024-04-29T10:00:00Z</dcterms:modified>
</cp:coreProperties>
</file>